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A7" w:rsidRDefault="004678B9" w:rsidP="00677C6A">
      <w:pPr>
        <w:tabs>
          <w:tab w:val="left" w:pos="6600"/>
        </w:tabs>
      </w:pPr>
      <w:bookmarkStart w:id="0" w:name="_GoBack"/>
      <w:bookmarkEnd w:id="0"/>
      <w:r>
        <w:tab/>
      </w:r>
    </w:p>
    <w:p w:rsidR="00FC06A7" w:rsidRDefault="00FC06A7" w:rsidP="00C70F6F">
      <w:pPr>
        <w:jc w:val="center"/>
      </w:pPr>
    </w:p>
    <w:p w:rsidR="00EC4BE6" w:rsidRDefault="00EC4BE6" w:rsidP="0096580F">
      <w:pPr>
        <w:jc w:val="right"/>
      </w:pPr>
    </w:p>
    <w:p w:rsidR="00FC06A7" w:rsidRPr="00DD1D5A" w:rsidRDefault="00FC06A7">
      <w:pPr>
        <w:rPr>
          <w:sz w:val="16"/>
        </w:rPr>
      </w:pPr>
    </w:p>
    <w:tbl>
      <w:tblPr>
        <w:tblStyle w:val="TableGrid"/>
        <w:tblW w:w="102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7673"/>
        <w:gridCol w:w="1620"/>
      </w:tblGrid>
      <w:tr w:rsidR="003317E2" w:rsidTr="004940E0">
        <w:tc>
          <w:tcPr>
            <w:tcW w:w="10260" w:type="dxa"/>
            <w:gridSpan w:val="3"/>
          </w:tcPr>
          <w:p w:rsidR="0042480D" w:rsidRPr="00DA3D8C" w:rsidRDefault="004678B9" w:rsidP="004940E0">
            <w:pPr>
              <w:tabs>
                <w:tab w:val="left" w:pos="8205"/>
              </w:tabs>
              <w:rPr>
                <w:rFonts w:ascii="Source Sans Pro" w:hAnsi="Source Sans Pro" w:cs="Arial"/>
                <w:color w:val="A21C26"/>
                <w:sz w:val="56"/>
                <w:szCs w:val="56"/>
              </w:rPr>
            </w:pPr>
            <w:r w:rsidRPr="00675C88">
              <w:rPr>
                <w:rFonts w:ascii="Source Sans Pro" w:hAnsi="Source Sans Pro" w:cs="Arial"/>
                <w:color w:val="A21C26"/>
                <w:sz w:val="56"/>
                <w:szCs w:val="56"/>
              </w:rPr>
              <w:t>Independent Medical Examiners</w:t>
            </w:r>
          </w:p>
        </w:tc>
      </w:tr>
      <w:tr w:rsidR="003317E2" w:rsidTr="004940E0">
        <w:tc>
          <w:tcPr>
            <w:tcW w:w="10260" w:type="dxa"/>
            <w:gridSpan w:val="3"/>
          </w:tcPr>
          <w:p w:rsidR="0042480D" w:rsidRPr="00DA3D8C" w:rsidRDefault="004678B9" w:rsidP="004940E0">
            <w:pPr>
              <w:spacing w:before="80" w:after="120"/>
              <w:rPr>
                <w:rFonts w:ascii="Source Sans Pro" w:hAnsi="Source Sans Pro" w:cs="Arial"/>
                <w:b/>
                <w:sz w:val="32"/>
                <w:szCs w:val="32"/>
              </w:rPr>
            </w:pPr>
            <w:r w:rsidRPr="00DA3D8C">
              <w:rPr>
                <w:rFonts w:ascii="Source Sans Pro" w:hAnsi="Source Sans Pro"/>
                <w:b/>
                <w:bCs/>
                <w:color w:val="000000" w:themeColor="text1"/>
              </w:rPr>
              <w:t>Qu</w:t>
            </w:r>
            <w:r w:rsidRPr="00675C88">
              <w:rPr>
                <w:rFonts w:ascii="Source Sans Pro" w:hAnsi="Source Sans Pro" w:cs="Arial"/>
                <w:b/>
              </w:rPr>
              <w:t>ick reference guide for agent-referred services</w:t>
            </w:r>
            <w:r w:rsidRPr="00675C88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r>
              <w:rPr>
                <w:rFonts w:ascii="Source Sans Pro" w:hAnsi="Source Sans Pro" w:cs="Arial"/>
                <w:sz w:val="22"/>
                <w:szCs w:val="22"/>
              </w:rPr>
              <w:t xml:space="preserve">effective </w:t>
            </w:r>
            <w:r w:rsidRPr="00471356">
              <w:rPr>
                <w:rFonts w:ascii="Source Sans Pro" w:hAnsi="Source Sans Pro" w:cs="Arial"/>
                <w:sz w:val="22"/>
                <w:szCs w:val="22"/>
              </w:rPr>
              <w:t>01 July 2022</w:t>
            </w:r>
            <w:r w:rsidRPr="00675C88">
              <w:rPr>
                <w:rFonts w:ascii="Source Sans Pro" w:hAnsi="Source Sans Pro" w:cs="Arial"/>
                <w:sz w:val="22"/>
                <w:szCs w:val="22"/>
              </w:rPr>
              <w:t>.</w:t>
            </w:r>
          </w:p>
        </w:tc>
      </w:tr>
      <w:tr w:rsidR="003317E2" w:rsidTr="004940E0">
        <w:tc>
          <w:tcPr>
            <w:tcW w:w="967" w:type="dxa"/>
            <w:tcBorders>
              <w:bottom w:val="single" w:sz="2" w:space="0" w:color="A21C26"/>
            </w:tcBorders>
          </w:tcPr>
          <w:p w:rsidR="0042480D" w:rsidRPr="003C7BC9" w:rsidRDefault="004678B9" w:rsidP="004940E0">
            <w:pPr>
              <w:spacing w:before="120" w:after="60"/>
              <w:rPr>
                <w:rFonts w:ascii="Source Sans Pro" w:hAnsi="Source Sans Pro"/>
                <w:b/>
                <w:color w:val="A21C26"/>
                <w:sz w:val="19"/>
                <w:szCs w:val="19"/>
              </w:rPr>
            </w:pPr>
            <w:r w:rsidRPr="003C7BC9">
              <w:rPr>
                <w:rFonts w:ascii="Source Sans Pro" w:hAnsi="Source Sans Pro"/>
                <w:bCs/>
                <w:color w:val="A21C26"/>
                <w:sz w:val="19"/>
                <w:szCs w:val="19"/>
              </w:rPr>
              <w:t>Item no.</w:t>
            </w:r>
          </w:p>
        </w:tc>
        <w:tc>
          <w:tcPr>
            <w:tcW w:w="7673" w:type="dxa"/>
            <w:tcBorders>
              <w:bottom w:val="single" w:sz="2" w:space="0" w:color="A21C26"/>
            </w:tcBorders>
          </w:tcPr>
          <w:p w:rsidR="0042480D" w:rsidRPr="003C7BC9" w:rsidRDefault="004678B9" w:rsidP="004940E0">
            <w:pPr>
              <w:spacing w:before="120" w:after="60"/>
              <w:rPr>
                <w:rFonts w:ascii="Source Sans Pro" w:hAnsi="Source Sans Pro"/>
                <w:b/>
                <w:color w:val="A21C26"/>
                <w:sz w:val="19"/>
                <w:szCs w:val="19"/>
              </w:rPr>
            </w:pPr>
            <w:r w:rsidRPr="003C7BC9">
              <w:rPr>
                <w:rFonts w:ascii="Source Sans Pro" w:hAnsi="Source Sans Pro"/>
                <w:bCs/>
                <w:color w:val="A21C26"/>
                <w:sz w:val="19"/>
                <w:szCs w:val="19"/>
              </w:rPr>
              <w:t>Service description</w:t>
            </w:r>
          </w:p>
        </w:tc>
        <w:tc>
          <w:tcPr>
            <w:tcW w:w="1620" w:type="dxa"/>
            <w:tcBorders>
              <w:bottom w:val="single" w:sz="2" w:space="0" w:color="A21C26"/>
            </w:tcBorders>
          </w:tcPr>
          <w:p w:rsidR="0042480D" w:rsidRPr="003C7BC9" w:rsidRDefault="004678B9" w:rsidP="005A5BE4">
            <w:pPr>
              <w:spacing w:before="120" w:after="60"/>
              <w:jc w:val="right"/>
              <w:rPr>
                <w:rFonts w:ascii="Source Sans Pro" w:hAnsi="Source Sans Pro"/>
                <w:b/>
                <w:color w:val="A21C26"/>
                <w:sz w:val="19"/>
                <w:szCs w:val="19"/>
              </w:rPr>
            </w:pPr>
            <w:r w:rsidRPr="003C7BC9">
              <w:rPr>
                <w:rFonts w:ascii="Source Sans Pro" w:hAnsi="Source Sans Pro"/>
                <w:bCs/>
                <w:color w:val="A21C26"/>
                <w:sz w:val="19"/>
                <w:szCs w:val="19"/>
              </w:rPr>
              <w:t xml:space="preserve">Max fee </w:t>
            </w:r>
            <w:r w:rsidRPr="003C7BC9">
              <w:rPr>
                <w:rFonts w:ascii="Source Sans Pro" w:hAnsi="Source Sans Pro"/>
                <w:color w:val="A21C26"/>
                <w:sz w:val="19"/>
                <w:szCs w:val="19"/>
              </w:rPr>
              <w:t>(ex GST)</w:t>
            </w: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Independent medical examiner - short medical report expected to be provided within 72 hours of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receipt of the initial request or examination, (where applicable) whichever is the later.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AIMPA1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$133.80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AIMSA1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Specialists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$133.80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Independent medical examiner - medical report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(excluding psychiatrists) expected to be provided within 10 business days of receipt of the initial request or examination, (where applicable) whichever is the later.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AIMP29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Consultants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$640.80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AIMS29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Specialists in a surgical </w:t>
            </w:r>
            <w:r>
              <w:rPr>
                <w:rFonts w:ascii="Source Sans Pro" w:hAnsi="Source Sans Pro" w:cs="Arial"/>
                <w:sz w:val="19"/>
                <w:szCs w:val="19"/>
              </w:rPr>
              <w:t>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$640.80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Independent medical examiner - psychiatrists medical report expected to be provided within 10 business days of receipt of the initial request or examination, (where applicable) whichever is the later.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AIMY61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Psychiatrists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$797.50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Independent medical examiner - consultation, medical review for preparation of a report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AIMP80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$242.90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AIMS80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Specialists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$242.90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AIMY83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Psychiatrists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>$347.00 flat</w:t>
            </w:r>
            <w:r w:rsidRPr="00471356">
              <w:rPr>
                <w:rFonts w:ascii="Source Sans Pro" w:hAnsi="Source Sans Pro"/>
                <w:sz w:val="19"/>
                <w:szCs w:val="19"/>
              </w:rPr>
              <w:t xml:space="preserve">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Independent medical examiner - reading time payable for reading prior reports or other information forwarded or approved by the requestor in order to prepare a report.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AIMP32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  DF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AIMS32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Specialists in a surgical </w:t>
            </w:r>
            <w:r>
              <w:rPr>
                <w:rFonts w:ascii="Source Sans Pro" w:hAnsi="Source Sans Pro" w:cs="Arial"/>
                <w:sz w:val="19"/>
                <w:szCs w:val="19"/>
              </w:rPr>
              <w:t>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  DF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AIMY32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Psychiatrists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  DF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Independent medical examiner - medical report clarification re-examination not required.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AIMP33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$111.60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AIMS33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Specialists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$111.60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lastRenderedPageBreak/>
              <w:t>Independent medical examiner - non-attendance or cancellation of an appointment less than 48 hours (excluding weekends and public holidays in South Australia) before, an appointment.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AIMP34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$242.90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AIMS34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Specialists in </w:t>
            </w:r>
            <w:r>
              <w:rPr>
                <w:rFonts w:ascii="Source Sans Pro" w:hAnsi="Source Sans Pro" w:cs="Arial"/>
                <w:sz w:val="19"/>
                <w:szCs w:val="19"/>
              </w:rPr>
              <w:t>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$242.90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AIMY34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Psychiatrists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$347.00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Independent medical examiner - telephone call (excluding calls made to or received from injured workers) up to and including 60 minutes duration.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AIMP24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Consultant </w:t>
            </w:r>
            <w:r>
              <w:rPr>
                <w:rFonts w:ascii="Source Sans Pro" w:hAnsi="Source Sans Pro" w:cs="Arial"/>
                <w:sz w:val="19"/>
                <w:szCs w:val="19"/>
              </w:rPr>
              <w:t>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AIMS24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Independent medical examiner - case conference to determine details of limitations to work, recommendations facilitating a return to work and options for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management of the injured worker's recovery, including medical treatment strategies.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AIMP09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AIMS09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Independent medical examiner - worksite assessment for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the purpose of assessing and reporting the duties that are or can be made available, and the capacity of the worker to undertake these duties.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AIMP08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AIMS08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Independent medical examiner - third party consultation at the doctor's rooms where the worker is usually not present.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AIMP14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AIMS14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Independent medical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examiner - attendance at a dispute resolution.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AIMP15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AIMS15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Independent medical examiner  cancellation of a case conference, worksite assessment, dispute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resolution or third party consultation.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AIMP36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AIMS36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Independent medical examiner - travel time: worksite assessment, case conference, dispute resolution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or third party consultation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AIMP40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AIMS40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Specialists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$534.50 per hour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rPr>
          <w:trHeight w:val="486"/>
        </w:trPr>
        <w:tc>
          <w:tcPr>
            <w:tcW w:w="8640" w:type="dxa"/>
            <w:gridSpan w:val="2"/>
            <w:tcBorders>
              <w:top w:val="single" w:sz="2" w:space="0" w:color="A21C26"/>
            </w:tcBorders>
          </w:tcPr>
          <w:p w:rsidR="0042480D" w:rsidRPr="00EB07F7" w:rsidRDefault="004678B9" w:rsidP="004940E0">
            <w:pPr>
              <w:spacing w:before="60" w:after="6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lastRenderedPageBreak/>
              <w:t>Independent medical examiner - travel for examinations</w:t>
            </w:r>
          </w:p>
        </w:tc>
        <w:tc>
          <w:tcPr>
            <w:tcW w:w="1620" w:type="dxa"/>
            <w:tcBorders>
              <w:top w:val="single" w:sz="2" w:space="0" w:color="A21C26"/>
            </w:tcBorders>
          </w:tcPr>
          <w:p w:rsidR="0042480D" w:rsidRPr="00BE7C91" w:rsidRDefault="0042480D" w:rsidP="005A5BE4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AIMP64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$156.30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AIMS64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Specialists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$156.30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AIMP65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$250.00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AIMS65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Specialists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$250.00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AIMP66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$331.10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AIMS66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Specialists in a surgical </w:t>
            </w:r>
            <w:r>
              <w:rPr>
                <w:rFonts w:ascii="Source Sans Pro" w:hAnsi="Source Sans Pro" w:cs="Arial"/>
                <w:sz w:val="19"/>
                <w:szCs w:val="19"/>
              </w:rPr>
              <w:t>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$331.10 flat fee 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AIMP67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  ATO rates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AIMS67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Specialists in a surgical discipline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  ATO rates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AIMP68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  Economy airfare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3317E2" w:rsidTr="004940E0">
        <w:tc>
          <w:tcPr>
            <w:tcW w:w="967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AIMS68</w:t>
            </w:r>
          </w:p>
        </w:tc>
        <w:tc>
          <w:tcPr>
            <w:tcW w:w="7673" w:type="dxa"/>
          </w:tcPr>
          <w:p w:rsidR="0042480D" w:rsidRPr="00EB07F7" w:rsidRDefault="004678B9" w:rsidP="004940E0">
            <w:pPr>
              <w:spacing w:before="40" w:after="40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Consultant physicians</w:t>
            </w:r>
          </w:p>
        </w:tc>
        <w:tc>
          <w:tcPr>
            <w:tcW w:w="1620" w:type="dxa"/>
          </w:tcPr>
          <w:p w:rsidR="00471356" w:rsidRPr="00471356" w:rsidRDefault="004678B9" w:rsidP="00471356">
            <w:pPr>
              <w:jc w:val="right"/>
              <w:rPr>
                <w:rFonts w:ascii="Source Sans Pro" w:hAnsi="Source Sans Pro"/>
                <w:sz w:val="19"/>
                <w:szCs w:val="19"/>
              </w:rPr>
            </w:pPr>
            <w:r w:rsidRPr="00471356">
              <w:rPr>
                <w:rFonts w:ascii="Source Sans Pro" w:hAnsi="Source Sans Pro"/>
                <w:sz w:val="19"/>
                <w:szCs w:val="19"/>
              </w:rPr>
              <w:t xml:space="preserve">  Economy airfare</w:t>
            </w:r>
          </w:p>
          <w:p w:rsidR="0042480D" w:rsidRPr="0038437B" w:rsidRDefault="0042480D" w:rsidP="00471356">
            <w:pPr>
              <w:spacing w:before="60" w:after="60"/>
              <w:jc w:val="right"/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</w:tbl>
    <w:p w:rsidR="00A46FE4" w:rsidRDefault="00A46FE4" w:rsidP="009A7F63">
      <w:pPr>
        <w:spacing w:beforeLines="30" w:before="72" w:afterLines="30" w:after="72"/>
        <w:rPr>
          <w:rFonts w:ascii="Arial" w:hAnsi="Arial" w:cs="Arial"/>
          <w:sz w:val="19"/>
          <w:szCs w:val="19"/>
        </w:rPr>
      </w:pPr>
    </w:p>
    <w:p w:rsidR="00A46FE4" w:rsidRDefault="00A46FE4">
      <w:pPr>
        <w:rPr>
          <w:rFonts w:ascii="Arial" w:hAnsi="Arial" w:cs="Arial"/>
          <w:sz w:val="19"/>
          <w:szCs w:val="19"/>
        </w:rPr>
      </w:pPr>
    </w:p>
    <w:sectPr w:rsidR="00A46FE4" w:rsidSect="008C6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286" w:right="746" w:bottom="600" w:left="840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78B9">
      <w:r>
        <w:separator/>
      </w:r>
    </w:p>
  </w:endnote>
  <w:endnote w:type="continuationSeparator" w:id="0">
    <w:p w:rsidR="00000000" w:rsidRDefault="0046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D3" w:rsidRDefault="00140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E4" w:rsidRDefault="004678B9" w:rsidP="00A46FE4">
    <w:pPr>
      <w:pStyle w:val="Footer"/>
      <w:tabs>
        <w:tab w:val="clear" w:pos="8306"/>
        <w:tab w:val="right" w:pos="10320"/>
      </w:tabs>
    </w:pPr>
    <w:r w:rsidRPr="00A46FE4">
      <w:rPr>
        <w:rFonts w:ascii="Source Sans Pro" w:hAnsi="Source Sans Pro" w:cs="Arial"/>
        <w:i/>
        <w:color w:val="A21C26"/>
        <w:sz w:val="18"/>
        <w:szCs w:val="18"/>
      </w:rPr>
      <w:t>Please refer to the Medical Fee Schedule 1B for notes and conditions on relevant services.</w:t>
    </w:r>
    <w:r w:rsidRPr="00A46FE4">
      <w:rPr>
        <w:rFonts w:ascii="Source Sans Pro" w:hAnsi="Source Sans Pro" w:cs="Arial"/>
        <w:color w:val="A21C26"/>
        <w:sz w:val="18"/>
        <w:szCs w:val="18"/>
      </w:rPr>
      <w:tab/>
      <w:t xml:space="preserve">Page </w:t>
    </w:r>
    <w:sdt>
      <w:sdtPr>
        <w:rPr>
          <w:rFonts w:ascii="Source Sans Pro" w:hAnsi="Source Sans Pro"/>
          <w:noProof/>
          <w:color w:val="A21C26"/>
          <w:sz w:val="18"/>
          <w:szCs w:val="18"/>
        </w:rPr>
        <w:id w:val="45484201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A46FE4">
          <w:rPr>
            <w:rFonts w:ascii="Source Sans Pro" w:hAnsi="Source Sans Pro"/>
            <w:color w:val="A21C26"/>
            <w:sz w:val="18"/>
            <w:szCs w:val="18"/>
          </w:rPr>
          <w:fldChar w:fldCharType="begin"/>
        </w:r>
        <w:r w:rsidRPr="00A46FE4">
          <w:rPr>
            <w:rFonts w:ascii="Source Sans Pro" w:hAnsi="Source Sans Pro"/>
            <w:color w:val="A21C26"/>
            <w:sz w:val="18"/>
            <w:szCs w:val="18"/>
          </w:rPr>
          <w:instrText xml:space="preserve"> PAGE   \* MERGEFORMAT </w:instrText>
        </w:r>
        <w:r w:rsidRPr="00A46FE4">
          <w:rPr>
            <w:rFonts w:ascii="Source Sans Pro" w:hAnsi="Source Sans Pro"/>
            <w:color w:val="A21C26"/>
            <w:sz w:val="18"/>
            <w:szCs w:val="18"/>
          </w:rPr>
          <w:fldChar w:fldCharType="separate"/>
        </w:r>
        <w:r>
          <w:rPr>
            <w:rFonts w:ascii="Source Sans Pro" w:hAnsi="Source Sans Pro"/>
            <w:noProof/>
            <w:color w:val="A21C26"/>
            <w:sz w:val="18"/>
            <w:szCs w:val="18"/>
          </w:rPr>
          <w:t>2</w:t>
        </w:r>
        <w:r w:rsidRPr="00A46FE4">
          <w:rPr>
            <w:rFonts w:ascii="Source Sans Pro" w:hAnsi="Source Sans Pro"/>
            <w:noProof/>
            <w:color w:val="A21C26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15" w:rsidRPr="00A46FE4" w:rsidRDefault="004678B9" w:rsidP="00A46FE4">
    <w:pPr>
      <w:pStyle w:val="Footer"/>
      <w:tabs>
        <w:tab w:val="clear" w:pos="8306"/>
        <w:tab w:val="right" w:pos="10320"/>
      </w:tabs>
      <w:rPr>
        <w:color w:val="A21C26"/>
      </w:rPr>
    </w:pPr>
    <w:r w:rsidRPr="00A46FE4">
      <w:rPr>
        <w:rFonts w:ascii="Source Sans Pro" w:hAnsi="Source Sans Pro" w:cs="Arial"/>
        <w:i/>
        <w:color w:val="A21C26"/>
        <w:sz w:val="18"/>
        <w:szCs w:val="18"/>
      </w:rPr>
      <w:t>Please refer to the Medical Fee Schedule</w:t>
    </w:r>
    <w:r w:rsidRPr="00A46FE4">
      <w:rPr>
        <w:rFonts w:ascii="Source Sans Pro" w:hAnsi="Source Sans Pro" w:cs="Arial"/>
        <w:i/>
        <w:color w:val="A21C26"/>
        <w:sz w:val="18"/>
        <w:szCs w:val="18"/>
      </w:rPr>
      <w:t xml:space="preserve"> 1B for notes and conditions on relevant services.</w:t>
    </w:r>
    <w:r w:rsidRPr="00A46FE4">
      <w:rPr>
        <w:rFonts w:ascii="Source Sans Pro" w:hAnsi="Source Sans Pro" w:cs="Arial"/>
        <w:color w:val="A21C26"/>
        <w:sz w:val="18"/>
        <w:szCs w:val="18"/>
      </w:rPr>
      <w:tab/>
      <w:t xml:space="preserve">Page </w:t>
    </w:r>
    <w:sdt>
      <w:sdtPr>
        <w:rPr>
          <w:rFonts w:ascii="Source Sans Pro" w:hAnsi="Source Sans Pro"/>
          <w:noProof/>
          <w:color w:val="A21C26"/>
          <w:sz w:val="18"/>
          <w:szCs w:val="18"/>
        </w:rPr>
        <w:id w:val="-1106491091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A46FE4">
          <w:rPr>
            <w:rFonts w:ascii="Source Sans Pro" w:hAnsi="Source Sans Pro"/>
            <w:color w:val="A21C26"/>
            <w:sz w:val="18"/>
            <w:szCs w:val="18"/>
          </w:rPr>
          <w:fldChar w:fldCharType="begin"/>
        </w:r>
        <w:r w:rsidRPr="00A46FE4">
          <w:rPr>
            <w:rFonts w:ascii="Source Sans Pro" w:hAnsi="Source Sans Pro"/>
            <w:color w:val="A21C26"/>
            <w:sz w:val="18"/>
            <w:szCs w:val="18"/>
          </w:rPr>
          <w:instrText xml:space="preserve"> PAGE   \* MERGEFORMAT </w:instrText>
        </w:r>
        <w:r w:rsidRPr="00A46FE4">
          <w:rPr>
            <w:rFonts w:ascii="Source Sans Pro" w:hAnsi="Source Sans Pro"/>
            <w:color w:val="A21C26"/>
            <w:sz w:val="18"/>
            <w:szCs w:val="18"/>
          </w:rPr>
          <w:fldChar w:fldCharType="separate"/>
        </w:r>
        <w:r>
          <w:rPr>
            <w:rFonts w:ascii="Source Sans Pro" w:hAnsi="Source Sans Pro"/>
            <w:noProof/>
            <w:color w:val="A21C26"/>
            <w:sz w:val="18"/>
            <w:szCs w:val="18"/>
          </w:rPr>
          <w:t>1</w:t>
        </w:r>
        <w:r w:rsidRPr="00A46FE4">
          <w:rPr>
            <w:rFonts w:ascii="Source Sans Pro" w:hAnsi="Source Sans Pro"/>
            <w:noProof/>
            <w:color w:val="A21C26"/>
            <w:sz w:val="18"/>
            <w:szCs w:val="18"/>
          </w:rPr>
          <w:fldChar w:fldCharType="end"/>
        </w:r>
      </w:sdtContent>
    </w:sdt>
  </w:p>
  <w:p w:rsidR="00006EDB" w:rsidRPr="00A46FE4" w:rsidRDefault="00006EDB" w:rsidP="00A46FE4">
    <w:pPr>
      <w:pStyle w:val="Footer"/>
      <w:tabs>
        <w:tab w:val="clear" w:pos="8306"/>
        <w:tab w:val="right" w:pos="10320"/>
      </w:tabs>
      <w:rPr>
        <w:rFonts w:ascii="Source Sans Pro" w:hAnsi="Source Sans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78B9">
      <w:r>
        <w:separator/>
      </w:r>
    </w:p>
  </w:footnote>
  <w:footnote w:type="continuationSeparator" w:id="0">
    <w:p w:rsidR="00000000" w:rsidRDefault="0046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D3" w:rsidRDefault="00140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D3" w:rsidRDefault="00140F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775335" cy="243840"/>
              <wp:effectExtent l="0" t="0" r="0" b="381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40FD3" w:rsidRPr="00140FD3" w:rsidRDefault="00140FD3" w:rsidP="00140F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4678B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10pt;width:61.05pt;height:19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" o:allowincell="f" filled="f" stroked="f" strokeweight=".5pt">
              <v:fill o:detectmouseclick="t"/>
              <v:textbox style="mso-fit-shape-to-text:t">
                <w:txbxContent>
                  <w:p w:rsidR="00140FD3" w:rsidRPr="00140FD3" w:rsidRDefault="00140FD3" w:rsidP="00140FD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4678B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112" w:rsidRPr="00934112" w:rsidRDefault="00140FD3" w:rsidP="00934112">
    <w:pPr>
      <w:tabs>
        <w:tab w:val="left" w:pos="2355"/>
        <w:tab w:val="left" w:pos="2460"/>
        <w:tab w:val="center" w:pos="4320"/>
        <w:tab w:val="right" w:pos="8640"/>
      </w:tabs>
      <w:jc w:val="center"/>
      <w:rPr>
        <w:rFonts w:ascii="Source Sans Pro" w:hAnsi="Source Sans Pro" w:cs="Arial"/>
        <w:b/>
        <w:sz w:val="20"/>
        <w:szCs w:val="20"/>
      </w:rPr>
    </w:pPr>
    <w:r>
      <w:rPr>
        <w:rFonts w:ascii="Source Sans Pro" w:hAnsi="Source Sans Pr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775335" cy="243840"/>
              <wp:effectExtent l="0" t="0" r="0" b="3810"/>
              <wp:wrapNone/>
              <wp:docPr id="2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40FD3" w:rsidRPr="00140FD3" w:rsidRDefault="00140FD3" w:rsidP="00140F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4678B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style="position:absolute;left:0;text-align:left;margin-left:0;margin-top:10pt;width:61.05pt;height:19.2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" o:allowincell="f" filled="f" stroked="f" strokeweight=".5pt">
              <v:fill o:detectmouseclick="t"/>
              <v:textbox style="mso-fit-shape-to-text:t">
                <w:txbxContent>
                  <w:p w:rsidR="00140FD3" w:rsidRPr="00140FD3" w:rsidRDefault="00140FD3" w:rsidP="00140FD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4678B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678B9" w:rsidRPr="00934112">
      <w:rPr>
        <w:rFonts w:ascii="Source Sans Pro" w:hAnsi="Source Sans Pro" w:cs="Arial"/>
        <w:b/>
        <w:sz w:val="20"/>
        <w:szCs w:val="20"/>
      </w:rPr>
      <w:t>Public – I3 – A2</w:t>
    </w:r>
  </w:p>
  <w:p w:rsidR="00006EDB" w:rsidRDefault="004678B9" w:rsidP="00006EDB">
    <w:pPr>
      <w:pStyle w:val="Header"/>
    </w:pPr>
    <w:r w:rsidRPr="008A503F">
      <w:rPr>
        <w:noProof/>
      </w:rPr>
      <w:drawing>
        <wp:inline distT="0" distB="0" distL="0" distR="0">
          <wp:extent cx="6584315" cy="833755"/>
          <wp:effectExtent l="0" t="0" r="6985" b="4445"/>
          <wp:docPr id="24" name="Picture 24" descr="\\headoffice.corporate.local\DFS\Users\DOHERJA\Desktop\Banner No Numb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\\headoffice.corporate.local\DFS\Users\DOHERJA\Desktop\Banner No Numb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43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C9A" w:rsidRDefault="00877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3F"/>
    <w:rsid w:val="00006EDB"/>
    <w:rsid w:val="0004057F"/>
    <w:rsid w:val="00046504"/>
    <w:rsid w:val="000626D6"/>
    <w:rsid w:val="000A1543"/>
    <w:rsid w:val="000B0F6C"/>
    <w:rsid w:val="000B3C03"/>
    <w:rsid w:val="000D2387"/>
    <w:rsid w:val="0012669B"/>
    <w:rsid w:val="00134CEA"/>
    <w:rsid w:val="00140FD3"/>
    <w:rsid w:val="0015519D"/>
    <w:rsid w:val="001846DE"/>
    <w:rsid w:val="00192FAF"/>
    <w:rsid w:val="001B5309"/>
    <w:rsid w:val="001B71E5"/>
    <w:rsid w:val="001E3F9C"/>
    <w:rsid w:val="00211D2A"/>
    <w:rsid w:val="00217979"/>
    <w:rsid w:val="00230426"/>
    <w:rsid w:val="002A01DF"/>
    <w:rsid w:val="002C1524"/>
    <w:rsid w:val="002C50FB"/>
    <w:rsid w:val="0030137A"/>
    <w:rsid w:val="00305742"/>
    <w:rsid w:val="003317E2"/>
    <w:rsid w:val="00343C78"/>
    <w:rsid w:val="00374F57"/>
    <w:rsid w:val="0038437B"/>
    <w:rsid w:val="003B5CFC"/>
    <w:rsid w:val="003C7BC9"/>
    <w:rsid w:val="003D1A6C"/>
    <w:rsid w:val="004213F0"/>
    <w:rsid w:val="0042480D"/>
    <w:rsid w:val="00430DD5"/>
    <w:rsid w:val="0043235A"/>
    <w:rsid w:val="00434CB0"/>
    <w:rsid w:val="00437848"/>
    <w:rsid w:val="00450C88"/>
    <w:rsid w:val="004678B9"/>
    <w:rsid w:val="00471356"/>
    <w:rsid w:val="00490956"/>
    <w:rsid w:val="00490AC4"/>
    <w:rsid w:val="004940E0"/>
    <w:rsid w:val="004A491B"/>
    <w:rsid w:val="004F1C3D"/>
    <w:rsid w:val="00517891"/>
    <w:rsid w:val="00522F3E"/>
    <w:rsid w:val="00530DCA"/>
    <w:rsid w:val="00537D0D"/>
    <w:rsid w:val="005430FC"/>
    <w:rsid w:val="005457D7"/>
    <w:rsid w:val="0055536D"/>
    <w:rsid w:val="00581A03"/>
    <w:rsid w:val="005A5BE4"/>
    <w:rsid w:val="005B7C82"/>
    <w:rsid w:val="005E4EC1"/>
    <w:rsid w:val="00616225"/>
    <w:rsid w:val="00623BC3"/>
    <w:rsid w:val="00627749"/>
    <w:rsid w:val="00664D45"/>
    <w:rsid w:val="00667FE2"/>
    <w:rsid w:val="0067123E"/>
    <w:rsid w:val="00675C88"/>
    <w:rsid w:val="00677425"/>
    <w:rsid w:val="00677C6A"/>
    <w:rsid w:val="006B1862"/>
    <w:rsid w:val="006C3C5E"/>
    <w:rsid w:val="006D1F3B"/>
    <w:rsid w:val="00766A58"/>
    <w:rsid w:val="00791B1C"/>
    <w:rsid w:val="007B430F"/>
    <w:rsid w:val="007C3602"/>
    <w:rsid w:val="007D174C"/>
    <w:rsid w:val="007F791D"/>
    <w:rsid w:val="0086359B"/>
    <w:rsid w:val="00865656"/>
    <w:rsid w:val="008662BD"/>
    <w:rsid w:val="00877C9A"/>
    <w:rsid w:val="00892676"/>
    <w:rsid w:val="008C291F"/>
    <w:rsid w:val="008C68E0"/>
    <w:rsid w:val="008F66BE"/>
    <w:rsid w:val="00904F7C"/>
    <w:rsid w:val="0091006B"/>
    <w:rsid w:val="00922ECC"/>
    <w:rsid w:val="00925B63"/>
    <w:rsid w:val="009267CE"/>
    <w:rsid w:val="00934112"/>
    <w:rsid w:val="00935512"/>
    <w:rsid w:val="00950F0A"/>
    <w:rsid w:val="0096580F"/>
    <w:rsid w:val="00997B8A"/>
    <w:rsid w:val="009A7F63"/>
    <w:rsid w:val="009C02A6"/>
    <w:rsid w:val="009F082A"/>
    <w:rsid w:val="009F27CC"/>
    <w:rsid w:val="009F4619"/>
    <w:rsid w:val="00A05BA1"/>
    <w:rsid w:val="00A402F0"/>
    <w:rsid w:val="00A44415"/>
    <w:rsid w:val="00A46FE4"/>
    <w:rsid w:val="00A65D6A"/>
    <w:rsid w:val="00A66B2F"/>
    <w:rsid w:val="00A86E14"/>
    <w:rsid w:val="00AC1493"/>
    <w:rsid w:val="00AD3DB5"/>
    <w:rsid w:val="00AD42C7"/>
    <w:rsid w:val="00AE30F0"/>
    <w:rsid w:val="00AF063F"/>
    <w:rsid w:val="00B023A6"/>
    <w:rsid w:val="00B339F5"/>
    <w:rsid w:val="00B415C0"/>
    <w:rsid w:val="00B57D14"/>
    <w:rsid w:val="00BB03C5"/>
    <w:rsid w:val="00BD1F6A"/>
    <w:rsid w:val="00BD4C9E"/>
    <w:rsid w:val="00BE7C91"/>
    <w:rsid w:val="00C052D1"/>
    <w:rsid w:val="00C05FE8"/>
    <w:rsid w:val="00C1305F"/>
    <w:rsid w:val="00C34E98"/>
    <w:rsid w:val="00C442AF"/>
    <w:rsid w:val="00C70F6F"/>
    <w:rsid w:val="00CA7148"/>
    <w:rsid w:val="00CA7579"/>
    <w:rsid w:val="00CC721F"/>
    <w:rsid w:val="00CE4E15"/>
    <w:rsid w:val="00CF0DDA"/>
    <w:rsid w:val="00CF51D0"/>
    <w:rsid w:val="00CF7C59"/>
    <w:rsid w:val="00D06EDE"/>
    <w:rsid w:val="00D239A5"/>
    <w:rsid w:val="00D32B8F"/>
    <w:rsid w:val="00D51D11"/>
    <w:rsid w:val="00D6367D"/>
    <w:rsid w:val="00D63FF7"/>
    <w:rsid w:val="00D653AC"/>
    <w:rsid w:val="00D76ED2"/>
    <w:rsid w:val="00D92055"/>
    <w:rsid w:val="00DA3D8C"/>
    <w:rsid w:val="00DD1D5A"/>
    <w:rsid w:val="00DF24A0"/>
    <w:rsid w:val="00E021AE"/>
    <w:rsid w:val="00E047B5"/>
    <w:rsid w:val="00E0481C"/>
    <w:rsid w:val="00E13B52"/>
    <w:rsid w:val="00E24C11"/>
    <w:rsid w:val="00E31376"/>
    <w:rsid w:val="00E46C04"/>
    <w:rsid w:val="00E569E7"/>
    <w:rsid w:val="00E91086"/>
    <w:rsid w:val="00EB07F7"/>
    <w:rsid w:val="00EB611A"/>
    <w:rsid w:val="00EC4BE6"/>
    <w:rsid w:val="00F207DC"/>
    <w:rsid w:val="00F41777"/>
    <w:rsid w:val="00FB03E8"/>
    <w:rsid w:val="00FC06A7"/>
    <w:rsid w:val="00FC42F9"/>
    <w:rsid w:val="00FE30EC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9A8AFA6-FCC5-49DE-9A09-4C435FD3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78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178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62BD"/>
  </w:style>
  <w:style w:type="paragraph" w:styleId="BalloonText">
    <w:name w:val="Balloon Text"/>
    <w:basedOn w:val="Normal"/>
    <w:link w:val="BalloonTextChar"/>
    <w:rsid w:val="0062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BC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E3F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1D1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06E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27BD-8C78-4CA0-9018-9BDFBA5B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610</Words>
  <Characters>3753</Characters>
  <Application>Microsoft Office Word</Application>
  <DocSecurity>0</DocSecurity>
  <Lines>214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Medial Examiners Fee Schedule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Medical Examiners Fee Schedule</dc:title>
  <dc:subject>Fee schedule</dc:subject>
  <dc:creator>ReturnToWorkSA</dc:creator>
  <cp:keywords>independent medical examiners fee schedule</cp:keywords>
  <cp:lastModifiedBy>Yorke, Jodie</cp:lastModifiedBy>
  <cp:revision>4</cp:revision>
  <cp:lastPrinted>2022-06-10T03:40:00Z</cp:lastPrinted>
  <dcterms:created xsi:type="dcterms:W3CDTF">2022-06-10T02:28:00Z</dcterms:created>
  <dcterms:modified xsi:type="dcterms:W3CDTF">2022-06-10T03:40:00Z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Powered by SmartIQ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46E111E95B4A4E4CB5AB36B36D87F857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8DBF2FDE9B796C0169818D272204DD8A4D8CBFCA</vt:lpwstr>
  </property>
  <property fmtid="{D5CDD505-2E9C-101B-9397-08002B2CF9AE}" pid="12" name="PM_OriginationTimeStamp">
    <vt:lpwstr>2022-06-10T02:27:33Z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2019.1.sa.gov.au</vt:lpwstr>
  </property>
  <property fmtid="{D5CDD505-2E9C-101B-9397-08002B2CF9AE}" pid="16" name="PM_Version">
    <vt:lpwstr>2018.1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38F97E65B2994B27DCE88478B80576A6</vt:lpwstr>
  </property>
  <property fmtid="{D5CDD505-2E9C-101B-9397-08002B2CF9AE}" pid="21" name="PM_Hash_Salt">
    <vt:lpwstr>E3763F7EAC052AD4B1F87567345F1C79</vt:lpwstr>
  </property>
  <property fmtid="{D5CDD505-2E9C-101B-9397-08002B2CF9AE}" pid="22" name="PM_Hash_SHA1">
    <vt:lpwstr>EA34915A19EDC6FD1289BDBFDBFBB74FC8B5C20B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</Properties>
</file>