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5908A252" w:rsidR="003A3B76" w:rsidRPr="00330962" w:rsidRDefault="00361866" w:rsidP="00D666CA">
                            <w:pPr>
                              <w:pStyle w:val="SubheadingCover"/>
                              <w:rPr>
                                <w:sz w:val="28"/>
                                <w:szCs w:val="28"/>
                              </w:rPr>
                            </w:pPr>
                            <w:r>
                              <w:rPr>
                                <w:sz w:val="28"/>
                                <w:szCs w:val="28"/>
                              </w:rPr>
                              <w:t>14 May</w:t>
                            </w:r>
                            <w:r w:rsidR="009139B8">
                              <w:rPr>
                                <w:sz w:val="28"/>
                                <w:szCs w:val="28"/>
                              </w:rPr>
                              <w:t xml:space="preserve"> </w:t>
                            </w:r>
                            <w:r w:rsidR="00182671">
                              <w:rPr>
                                <w:sz w:val="28"/>
                                <w:szCs w:val="28"/>
                              </w:rPr>
                              <w:t>202</w:t>
                            </w:r>
                            <w:r w:rsidR="003743E7">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5908A252" w:rsidR="003A3B76" w:rsidRPr="00330962" w:rsidRDefault="00361866" w:rsidP="00D666CA">
                      <w:pPr>
                        <w:pStyle w:val="SubheadingCover"/>
                        <w:rPr>
                          <w:sz w:val="28"/>
                          <w:szCs w:val="28"/>
                        </w:rPr>
                      </w:pPr>
                      <w:r>
                        <w:rPr>
                          <w:sz w:val="28"/>
                          <w:szCs w:val="28"/>
                        </w:rPr>
                        <w:t>14 May</w:t>
                      </w:r>
                      <w:r w:rsidR="009139B8">
                        <w:rPr>
                          <w:sz w:val="28"/>
                          <w:szCs w:val="28"/>
                        </w:rPr>
                        <w:t xml:space="preserve"> </w:t>
                      </w:r>
                      <w:r w:rsidR="00182671">
                        <w:rPr>
                          <w:sz w:val="28"/>
                          <w:szCs w:val="28"/>
                        </w:rPr>
                        <w:t>202</w:t>
                      </w:r>
                      <w:r w:rsidR="003743E7">
                        <w:rPr>
                          <w:sz w:val="28"/>
                          <w:szCs w:val="28"/>
                        </w:rPr>
                        <w:t>5</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13AFFA6F" w14:textId="3DD32DF9" w:rsidR="00CC0767"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98115833" w:history="1">
        <w:r w:rsidR="00CC0767" w:rsidRPr="00983984">
          <w:rPr>
            <w:rStyle w:val="Hyperlink"/>
            <w:noProof/>
          </w:rPr>
          <w:t>Introduction</w:t>
        </w:r>
        <w:r w:rsidR="00CC0767">
          <w:rPr>
            <w:noProof/>
            <w:webHidden/>
          </w:rPr>
          <w:tab/>
        </w:r>
        <w:r w:rsidR="00CC0767">
          <w:rPr>
            <w:noProof/>
            <w:webHidden/>
          </w:rPr>
          <w:fldChar w:fldCharType="begin"/>
        </w:r>
        <w:r w:rsidR="00CC0767">
          <w:rPr>
            <w:noProof/>
            <w:webHidden/>
          </w:rPr>
          <w:instrText xml:space="preserve"> PAGEREF _Toc198115833 \h </w:instrText>
        </w:r>
        <w:r w:rsidR="00CC0767">
          <w:rPr>
            <w:noProof/>
            <w:webHidden/>
          </w:rPr>
        </w:r>
        <w:r w:rsidR="00CC0767">
          <w:rPr>
            <w:noProof/>
            <w:webHidden/>
          </w:rPr>
          <w:fldChar w:fldCharType="separate"/>
        </w:r>
        <w:r w:rsidR="00CC0767">
          <w:rPr>
            <w:noProof/>
            <w:webHidden/>
          </w:rPr>
          <w:t>1</w:t>
        </w:r>
        <w:r w:rsidR="00CC0767">
          <w:rPr>
            <w:noProof/>
            <w:webHidden/>
          </w:rPr>
          <w:fldChar w:fldCharType="end"/>
        </w:r>
      </w:hyperlink>
    </w:p>
    <w:p w14:paraId="61271F68" w14:textId="7DDF48E2" w:rsidR="00CC0767" w:rsidRDefault="00CC0767">
      <w:pPr>
        <w:pStyle w:val="TOC1"/>
        <w:rPr>
          <w:rFonts w:asciiTheme="minorHAnsi" w:hAnsiTheme="minorHAnsi"/>
          <w:noProof/>
          <w:kern w:val="2"/>
          <w:sz w:val="24"/>
          <w:lang w:eastAsia="en-AU"/>
          <w14:ligatures w14:val="standardContextual"/>
        </w:rPr>
      </w:pPr>
      <w:hyperlink w:anchor="_Toc198115834" w:history="1">
        <w:r w:rsidRPr="00983984">
          <w:rPr>
            <w:rStyle w:val="Hyperlink"/>
            <w:noProof/>
          </w:rPr>
          <w:t>Regulation 3 – Prime bank rate</w:t>
        </w:r>
        <w:r>
          <w:rPr>
            <w:noProof/>
            <w:webHidden/>
          </w:rPr>
          <w:tab/>
        </w:r>
        <w:r>
          <w:rPr>
            <w:noProof/>
            <w:webHidden/>
          </w:rPr>
          <w:fldChar w:fldCharType="begin"/>
        </w:r>
        <w:r>
          <w:rPr>
            <w:noProof/>
            <w:webHidden/>
          </w:rPr>
          <w:instrText xml:space="preserve"> PAGEREF _Toc198115834 \h </w:instrText>
        </w:r>
        <w:r>
          <w:rPr>
            <w:noProof/>
            <w:webHidden/>
          </w:rPr>
        </w:r>
        <w:r>
          <w:rPr>
            <w:noProof/>
            <w:webHidden/>
          </w:rPr>
          <w:fldChar w:fldCharType="separate"/>
        </w:r>
        <w:r>
          <w:rPr>
            <w:noProof/>
            <w:webHidden/>
          </w:rPr>
          <w:t>2</w:t>
        </w:r>
        <w:r>
          <w:rPr>
            <w:noProof/>
            <w:webHidden/>
          </w:rPr>
          <w:fldChar w:fldCharType="end"/>
        </w:r>
      </w:hyperlink>
    </w:p>
    <w:p w14:paraId="34ECC3A1" w14:textId="5A41B99D" w:rsidR="00CC0767" w:rsidRDefault="00CC0767">
      <w:pPr>
        <w:pStyle w:val="TOC1"/>
        <w:rPr>
          <w:rFonts w:asciiTheme="minorHAnsi" w:hAnsiTheme="minorHAnsi"/>
          <w:noProof/>
          <w:kern w:val="2"/>
          <w:sz w:val="24"/>
          <w:lang w:eastAsia="en-AU"/>
          <w14:ligatures w14:val="standardContextual"/>
        </w:rPr>
      </w:pPr>
      <w:hyperlink w:anchor="_Toc198115835" w:history="1">
        <w:r w:rsidRPr="00983984">
          <w:rPr>
            <w:rStyle w:val="Hyperlink"/>
            <w:noProof/>
          </w:rPr>
          <w:t>Section 4 of the Act – Contract of service</w:t>
        </w:r>
        <w:r>
          <w:rPr>
            <w:noProof/>
            <w:webHidden/>
          </w:rPr>
          <w:tab/>
        </w:r>
        <w:r>
          <w:rPr>
            <w:noProof/>
            <w:webHidden/>
          </w:rPr>
          <w:fldChar w:fldCharType="begin"/>
        </w:r>
        <w:r>
          <w:rPr>
            <w:noProof/>
            <w:webHidden/>
          </w:rPr>
          <w:instrText xml:space="preserve"> PAGEREF _Toc198115835 \h </w:instrText>
        </w:r>
        <w:r>
          <w:rPr>
            <w:noProof/>
            <w:webHidden/>
          </w:rPr>
        </w:r>
        <w:r>
          <w:rPr>
            <w:noProof/>
            <w:webHidden/>
          </w:rPr>
          <w:fldChar w:fldCharType="separate"/>
        </w:r>
        <w:r>
          <w:rPr>
            <w:noProof/>
            <w:webHidden/>
          </w:rPr>
          <w:t>2</w:t>
        </w:r>
        <w:r>
          <w:rPr>
            <w:noProof/>
            <w:webHidden/>
          </w:rPr>
          <w:fldChar w:fldCharType="end"/>
        </w:r>
      </w:hyperlink>
    </w:p>
    <w:p w14:paraId="7A19D213" w14:textId="3C965E5D" w:rsidR="00CC0767" w:rsidRDefault="00CC0767">
      <w:pPr>
        <w:pStyle w:val="TOC1"/>
        <w:rPr>
          <w:rFonts w:asciiTheme="minorHAnsi" w:hAnsiTheme="minorHAnsi"/>
          <w:noProof/>
          <w:kern w:val="2"/>
          <w:sz w:val="24"/>
          <w:lang w:eastAsia="en-AU"/>
          <w14:ligatures w14:val="standardContextual"/>
        </w:rPr>
      </w:pPr>
      <w:hyperlink w:anchor="_Toc198115836" w:history="1">
        <w:r w:rsidRPr="00983984">
          <w:rPr>
            <w:rStyle w:val="Hyperlink"/>
            <w:noProof/>
          </w:rPr>
          <w:t>Section 4(9) of the Act – Average weekly earnings</w:t>
        </w:r>
        <w:r>
          <w:rPr>
            <w:noProof/>
            <w:webHidden/>
          </w:rPr>
          <w:tab/>
        </w:r>
        <w:r>
          <w:rPr>
            <w:noProof/>
            <w:webHidden/>
          </w:rPr>
          <w:fldChar w:fldCharType="begin"/>
        </w:r>
        <w:r>
          <w:rPr>
            <w:noProof/>
            <w:webHidden/>
          </w:rPr>
          <w:instrText xml:space="preserve"> PAGEREF _Toc198115836 \h </w:instrText>
        </w:r>
        <w:r>
          <w:rPr>
            <w:noProof/>
            <w:webHidden/>
          </w:rPr>
        </w:r>
        <w:r>
          <w:rPr>
            <w:noProof/>
            <w:webHidden/>
          </w:rPr>
          <w:fldChar w:fldCharType="separate"/>
        </w:r>
        <w:r>
          <w:rPr>
            <w:noProof/>
            <w:webHidden/>
          </w:rPr>
          <w:t>5</w:t>
        </w:r>
        <w:r>
          <w:rPr>
            <w:noProof/>
            <w:webHidden/>
          </w:rPr>
          <w:fldChar w:fldCharType="end"/>
        </w:r>
      </w:hyperlink>
    </w:p>
    <w:p w14:paraId="4B9D13E5" w14:textId="38ACC3A8" w:rsidR="00CC0767" w:rsidRDefault="00CC0767">
      <w:pPr>
        <w:pStyle w:val="TOC1"/>
        <w:rPr>
          <w:rFonts w:asciiTheme="minorHAnsi" w:hAnsiTheme="minorHAnsi"/>
          <w:noProof/>
          <w:kern w:val="2"/>
          <w:sz w:val="24"/>
          <w:lang w:eastAsia="en-AU"/>
          <w14:ligatures w14:val="standardContextual"/>
        </w:rPr>
      </w:pPr>
      <w:hyperlink w:anchor="_Toc198115837" w:history="1">
        <w:r w:rsidRPr="00983984">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_Toc198115837 \h </w:instrText>
        </w:r>
        <w:r>
          <w:rPr>
            <w:noProof/>
            <w:webHidden/>
          </w:rPr>
        </w:r>
        <w:r>
          <w:rPr>
            <w:noProof/>
            <w:webHidden/>
          </w:rPr>
          <w:fldChar w:fldCharType="separate"/>
        </w:r>
        <w:r>
          <w:rPr>
            <w:noProof/>
            <w:webHidden/>
          </w:rPr>
          <w:t>6</w:t>
        </w:r>
        <w:r>
          <w:rPr>
            <w:noProof/>
            <w:webHidden/>
          </w:rPr>
          <w:fldChar w:fldCharType="end"/>
        </w:r>
      </w:hyperlink>
    </w:p>
    <w:p w14:paraId="64110EBB" w14:textId="72C3608F" w:rsidR="00CC0767" w:rsidRDefault="00CC0767">
      <w:pPr>
        <w:pStyle w:val="TOC1"/>
        <w:rPr>
          <w:rFonts w:asciiTheme="minorHAnsi" w:hAnsiTheme="minorHAnsi"/>
          <w:noProof/>
          <w:kern w:val="2"/>
          <w:sz w:val="24"/>
          <w:lang w:eastAsia="en-AU"/>
          <w14:ligatures w14:val="standardContextual"/>
        </w:rPr>
      </w:pPr>
      <w:hyperlink w:anchor="_Toc198115838" w:history="1">
        <w:r w:rsidRPr="00983984">
          <w:rPr>
            <w:rStyle w:val="Hyperlink"/>
            <w:noProof/>
          </w:rPr>
          <w:t>Section 33(2)(e) of the Act – Cost of accommodation</w:t>
        </w:r>
        <w:r>
          <w:rPr>
            <w:noProof/>
            <w:webHidden/>
          </w:rPr>
          <w:tab/>
        </w:r>
        <w:r>
          <w:rPr>
            <w:noProof/>
            <w:webHidden/>
          </w:rPr>
          <w:fldChar w:fldCharType="begin"/>
        </w:r>
        <w:r>
          <w:rPr>
            <w:noProof/>
            <w:webHidden/>
          </w:rPr>
          <w:instrText xml:space="preserve"> PAGEREF _Toc198115838 \h </w:instrText>
        </w:r>
        <w:r>
          <w:rPr>
            <w:noProof/>
            <w:webHidden/>
          </w:rPr>
        </w:r>
        <w:r>
          <w:rPr>
            <w:noProof/>
            <w:webHidden/>
          </w:rPr>
          <w:fldChar w:fldCharType="separate"/>
        </w:r>
        <w:r>
          <w:rPr>
            <w:noProof/>
            <w:webHidden/>
          </w:rPr>
          <w:t>6</w:t>
        </w:r>
        <w:r>
          <w:rPr>
            <w:noProof/>
            <w:webHidden/>
          </w:rPr>
          <w:fldChar w:fldCharType="end"/>
        </w:r>
      </w:hyperlink>
    </w:p>
    <w:p w14:paraId="7D6F1444" w14:textId="187DBE5B" w:rsidR="00CC0767" w:rsidRDefault="00CC0767">
      <w:pPr>
        <w:pStyle w:val="TOC1"/>
        <w:rPr>
          <w:rFonts w:asciiTheme="minorHAnsi" w:hAnsiTheme="minorHAnsi"/>
          <w:noProof/>
          <w:kern w:val="2"/>
          <w:sz w:val="24"/>
          <w:lang w:eastAsia="en-AU"/>
          <w14:ligatures w14:val="standardContextual"/>
        </w:rPr>
      </w:pPr>
      <w:hyperlink w:anchor="_Toc198115839" w:history="1">
        <w:r w:rsidRPr="00983984">
          <w:rPr>
            <w:rStyle w:val="Hyperlink"/>
            <w:noProof/>
          </w:rPr>
          <w:t>Section 33(8) of the Act – Travel costs in own vehicle</w:t>
        </w:r>
        <w:r>
          <w:rPr>
            <w:noProof/>
            <w:webHidden/>
          </w:rPr>
          <w:tab/>
        </w:r>
        <w:r>
          <w:rPr>
            <w:noProof/>
            <w:webHidden/>
          </w:rPr>
          <w:fldChar w:fldCharType="begin"/>
        </w:r>
        <w:r>
          <w:rPr>
            <w:noProof/>
            <w:webHidden/>
          </w:rPr>
          <w:instrText xml:space="preserve"> PAGEREF _Toc198115839 \h </w:instrText>
        </w:r>
        <w:r>
          <w:rPr>
            <w:noProof/>
            <w:webHidden/>
          </w:rPr>
        </w:r>
        <w:r>
          <w:rPr>
            <w:noProof/>
            <w:webHidden/>
          </w:rPr>
          <w:fldChar w:fldCharType="separate"/>
        </w:r>
        <w:r>
          <w:rPr>
            <w:noProof/>
            <w:webHidden/>
          </w:rPr>
          <w:t>7</w:t>
        </w:r>
        <w:r>
          <w:rPr>
            <w:noProof/>
            <w:webHidden/>
          </w:rPr>
          <w:fldChar w:fldCharType="end"/>
        </w:r>
      </w:hyperlink>
    </w:p>
    <w:p w14:paraId="296969F8" w14:textId="4AF36E68" w:rsidR="00CC0767" w:rsidRDefault="00CC0767">
      <w:pPr>
        <w:pStyle w:val="TOC1"/>
        <w:rPr>
          <w:rFonts w:asciiTheme="minorHAnsi" w:hAnsiTheme="minorHAnsi"/>
          <w:noProof/>
          <w:kern w:val="2"/>
          <w:sz w:val="24"/>
          <w:lang w:eastAsia="en-AU"/>
          <w14:ligatures w14:val="standardContextual"/>
        </w:rPr>
      </w:pPr>
      <w:hyperlink w:anchor="_Toc198115840" w:history="1">
        <w:r w:rsidRPr="00983984">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_Toc198115840 \h </w:instrText>
        </w:r>
        <w:r>
          <w:rPr>
            <w:noProof/>
            <w:webHidden/>
          </w:rPr>
        </w:r>
        <w:r>
          <w:rPr>
            <w:noProof/>
            <w:webHidden/>
          </w:rPr>
          <w:fldChar w:fldCharType="separate"/>
        </w:r>
        <w:r>
          <w:rPr>
            <w:noProof/>
            <w:webHidden/>
          </w:rPr>
          <w:t>7</w:t>
        </w:r>
        <w:r>
          <w:rPr>
            <w:noProof/>
            <w:webHidden/>
          </w:rPr>
          <w:fldChar w:fldCharType="end"/>
        </w:r>
      </w:hyperlink>
    </w:p>
    <w:p w14:paraId="4C130CE9" w14:textId="7A4ECD95" w:rsidR="00CC0767" w:rsidRDefault="00CC0767">
      <w:pPr>
        <w:pStyle w:val="TOC1"/>
        <w:rPr>
          <w:rFonts w:asciiTheme="minorHAnsi" w:hAnsiTheme="minorHAnsi"/>
          <w:noProof/>
          <w:kern w:val="2"/>
          <w:sz w:val="24"/>
          <w:lang w:eastAsia="en-AU"/>
          <w14:ligatures w14:val="standardContextual"/>
        </w:rPr>
      </w:pPr>
      <w:hyperlink w:anchor="_Toc198115841" w:history="1">
        <w:r w:rsidRPr="00983984">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_Toc198115841 \h </w:instrText>
        </w:r>
        <w:r>
          <w:rPr>
            <w:noProof/>
            <w:webHidden/>
          </w:rPr>
        </w:r>
        <w:r>
          <w:rPr>
            <w:noProof/>
            <w:webHidden/>
          </w:rPr>
          <w:fldChar w:fldCharType="separate"/>
        </w:r>
        <w:r>
          <w:rPr>
            <w:noProof/>
            <w:webHidden/>
          </w:rPr>
          <w:t>8</w:t>
        </w:r>
        <w:r>
          <w:rPr>
            <w:noProof/>
            <w:webHidden/>
          </w:rPr>
          <w:fldChar w:fldCharType="end"/>
        </w:r>
      </w:hyperlink>
    </w:p>
    <w:p w14:paraId="11E31ADE" w14:textId="5D00435D" w:rsidR="00CC0767" w:rsidRDefault="00CC0767">
      <w:pPr>
        <w:pStyle w:val="TOC1"/>
        <w:rPr>
          <w:rFonts w:asciiTheme="minorHAnsi" w:hAnsiTheme="minorHAnsi"/>
          <w:noProof/>
          <w:kern w:val="2"/>
          <w:sz w:val="24"/>
          <w:lang w:eastAsia="en-AU"/>
          <w14:ligatures w14:val="standardContextual"/>
        </w:rPr>
      </w:pPr>
      <w:hyperlink w:anchor="_Toc198115842" w:history="1">
        <w:r w:rsidRPr="00983984">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_Toc198115842 \h </w:instrText>
        </w:r>
        <w:r>
          <w:rPr>
            <w:noProof/>
            <w:webHidden/>
          </w:rPr>
        </w:r>
        <w:r>
          <w:rPr>
            <w:noProof/>
            <w:webHidden/>
          </w:rPr>
          <w:fldChar w:fldCharType="separate"/>
        </w:r>
        <w:r>
          <w:rPr>
            <w:noProof/>
            <w:webHidden/>
          </w:rPr>
          <w:t>8</w:t>
        </w:r>
        <w:r>
          <w:rPr>
            <w:noProof/>
            <w:webHidden/>
          </w:rPr>
          <w:fldChar w:fldCharType="end"/>
        </w:r>
      </w:hyperlink>
    </w:p>
    <w:p w14:paraId="508A706B" w14:textId="5468024A" w:rsidR="00CC0767" w:rsidRDefault="00CC0767">
      <w:pPr>
        <w:pStyle w:val="TOC1"/>
        <w:rPr>
          <w:rFonts w:asciiTheme="minorHAnsi" w:hAnsiTheme="minorHAnsi"/>
          <w:noProof/>
          <w:kern w:val="2"/>
          <w:sz w:val="24"/>
          <w:lang w:eastAsia="en-AU"/>
          <w14:ligatures w14:val="standardContextual"/>
        </w:rPr>
      </w:pPr>
      <w:hyperlink w:anchor="_Toc198115843" w:history="1">
        <w:r w:rsidRPr="00983984">
          <w:rPr>
            <w:rStyle w:val="Hyperlink"/>
            <w:noProof/>
          </w:rPr>
          <w:t>Section 47(3)(a)(i) of the Act – Wage Price Index</w:t>
        </w:r>
        <w:r>
          <w:rPr>
            <w:noProof/>
            <w:webHidden/>
          </w:rPr>
          <w:tab/>
        </w:r>
        <w:r>
          <w:rPr>
            <w:noProof/>
            <w:webHidden/>
          </w:rPr>
          <w:fldChar w:fldCharType="begin"/>
        </w:r>
        <w:r>
          <w:rPr>
            <w:noProof/>
            <w:webHidden/>
          </w:rPr>
          <w:instrText xml:space="preserve"> PAGEREF _Toc198115843 \h </w:instrText>
        </w:r>
        <w:r>
          <w:rPr>
            <w:noProof/>
            <w:webHidden/>
          </w:rPr>
        </w:r>
        <w:r>
          <w:rPr>
            <w:noProof/>
            <w:webHidden/>
          </w:rPr>
          <w:fldChar w:fldCharType="separate"/>
        </w:r>
        <w:r>
          <w:rPr>
            <w:noProof/>
            <w:webHidden/>
          </w:rPr>
          <w:t>9</w:t>
        </w:r>
        <w:r>
          <w:rPr>
            <w:noProof/>
            <w:webHidden/>
          </w:rPr>
          <w:fldChar w:fldCharType="end"/>
        </w:r>
      </w:hyperlink>
    </w:p>
    <w:p w14:paraId="6A07946E" w14:textId="5D8016FD" w:rsidR="00CC0767" w:rsidRDefault="00CC0767">
      <w:pPr>
        <w:pStyle w:val="TOC1"/>
        <w:rPr>
          <w:rFonts w:asciiTheme="minorHAnsi" w:hAnsiTheme="minorHAnsi"/>
          <w:noProof/>
          <w:kern w:val="2"/>
          <w:sz w:val="24"/>
          <w:lang w:eastAsia="en-AU"/>
          <w14:ligatures w14:val="standardContextual"/>
        </w:rPr>
      </w:pPr>
      <w:hyperlink w:anchor="_Toc198115844" w:history="1">
        <w:r w:rsidRPr="00983984">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_Toc198115844 \h </w:instrText>
        </w:r>
        <w:r>
          <w:rPr>
            <w:noProof/>
            <w:webHidden/>
          </w:rPr>
        </w:r>
        <w:r>
          <w:rPr>
            <w:noProof/>
            <w:webHidden/>
          </w:rPr>
          <w:fldChar w:fldCharType="separate"/>
        </w:r>
        <w:r>
          <w:rPr>
            <w:noProof/>
            <w:webHidden/>
          </w:rPr>
          <w:t>10</w:t>
        </w:r>
        <w:r>
          <w:rPr>
            <w:noProof/>
            <w:webHidden/>
          </w:rPr>
          <w:fldChar w:fldCharType="end"/>
        </w:r>
      </w:hyperlink>
    </w:p>
    <w:p w14:paraId="3FD63ED1" w14:textId="4C2AE0E4" w:rsidR="00CC0767" w:rsidRDefault="00CC0767">
      <w:pPr>
        <w:pStyle w:val="TOC1"/>
        <w:rPr>
          <w:rFonts w:asciiTheme="minorHAnsi" w:hAnsiTheme="minorHAnsi"/>
          <w:noProof/>
          <w:kern w:val="2"/>
          <w:sz w:val="24"/>
          <w:lang w:eastAsia="en-AU"/>
          <w14:ligatures w14:val="standardContextual"/>
        </w:rPr>
      </w:pPr>
      <w:hyperlink w:anchor="_Toc198115845" w:history="1">
        <w:r w:rsidRPr="00983984">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_Toc198115845 \h </w:instrText>
        </w:r>
        <w:r>
          <w:rPr>
            <w:noProof/>
            <w:webHidden/>
          </w:rPr>
        </w:r>
        <w:r>
          <w:rPr>
            <w:noProof/>
            <w:webHidden/>
          </w:rPr>
          <w:fldChar w:fldCharType="separate"/>
        </w:r>
        <w:r>
          <w:rPr>
            <w:noProof/>
            <w:webHidden/>
          </w:rPr>
          <w:t>11</w:t>
        </w:r>
        <w:r>
          <w:rPr>
            <w:noProof/>
            <w:webHidden/>
          </w:rPr>
          <w:fldChar w:fldCharType="end"/>
        </w:r>
      </w:hyperlink>
    </w:p>
    <w:p w14:paraId="19349F43" w14:textId="4F0D4839" w:rsidR="00CC0767" w:rsidRDefault="00CC0767">
      <w:pPr>
        <w:pStyle w:val="TOC1"/>
        <w:rPr>
          <w:rFonts w:asciiTheme="minorHAnsi" w:hAnsiTheme="minorHAnsi"/>
          <w:noProof/>
          <w:kern w:val="2"/>
          <w:sz w:val="24"/>
          <w:lang w:eastAsia="en-AU"/>
          <w14:ligatures w14:val="standardContextual"/>
        </w:rPr>
      </w:pPr>
      <w:hyperlink w:anchor="_Toc198115846" w:history="1">
        <w:r w:rsidRPr="00983984">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_Toc198115846 \h </w:instrText>
        </w:r>
        <w:r>
          <w:rPr>
            <w:noProof/>
            <w:webHidden/>
          </w:rPr>
        </w:r>
        <w:r>
          <w:rPr>
            <w:noProof/>
            <w:webHidden/>
          </w:rPr>
          <w:fldChar w:fldCharType="separate"/>
        </w:r>
        <w:r>
          <w:rPr>
            <w:noProof/>
            <w:webHidden/>
          </w:rPr>
          <w:t>11</w:t>
        </w:r>
        <w:r>
          <w:rPr>
            <w:noProof/>
            <w:webHidden/>
          </w:rPr>
          <w:fldChar w:fldCharType="end"/>
        </w:r>
      </w:hyperlink>
    </w:p>
    <w:p w14:paraId="12CE7DD2" w14:textId="2C09F037" w:rsidR="00CC0767" w:rsidRDefault="00CC0767">
      <w:pPr>
        <w:pStyle w:val="TOC1"/>
        <w:rPr>
          <w:rFonts w:asciiTheme="minorHAnsi" w:hAnsiTheme="minorHAnsi"/>
          <w:noProof/>
          <w:kern w:val="2"/>
          <w:sz w:val="24"/>
          <w:lang w:eastAsia="en-AU"/>
          <w14:ligatures w14:val="standardContextual"/>
        </w:rPr>
      </w:pPr>
      <w:hyperlink w:anchor="_Toc198115847" w:history="1">
        <w:r w:rsidRPr="00983984">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_Toc198115847 \h </w:instrText>
        </w:r>
        <w:r>
          <w:rPr>
            <w:noProof/>
            <w:webHidden/>
          </w:rPr>
        </w:r>
        <w:r>
          <w:rPr>
            <w:noProof/>
            <w:webHidden/>
          </w:rPr>
          <w:fldChar w:fldCharType="separate"/>
        </w:r>
        <w:r>
          <w:rPr>
            <w:noProof/>
            <w:webHidden/>
          </w:rPr>
          <w:t>13</w:t>
        </w:r>
        <w:r>
          <w:rPr>
            <w:noProof/>
            <w:webHidden/>
          </w:rPr>
          <w:fldChar w:fldCharType="end"/>
        </w:r>
      </w:hyperlink>
    </w:p>
    <w:p w14:paraId="16BDA8C6" w14:textId="13A208CF" w:rsidR="00CC0767" w:rsidRDefault="00CC0767">
      <w:pPr>
        <w:pStyle w:val="TOC1"/>
        <w:rPr>
          <w:rFonts w:asciiTheme="minorHAnsi" w:hAnsiTheme="minorHAnsi"/>
          <w:noProof/>
          <w:kern w:val="2"/>
          <w:sz w:val="24"/>
          <w:lang w:eastAsia="en-AU"/>
          <w14:ligatures w14:val="standardContextual"/>
        </w:rPr>
      </w:pPr>
      <w:hyperlink w:anchor="_Toc198115848" w:history="1">
        <w:r w:rsidRPr="00983984">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_Toc198115848 \h </w:instrText>
        </w:r>
        <w:r>
          <w:rPr>
            <w:noProof/>
            <w:webHidden/>
          </w:rPr>
        </w:r>
        <w:r>
          <w:rPr>
            <w:noProof/>
            <w:webHidden/>
          </w:rPr>
          <w:fldChar w:fldCharType="separate"/>
        </w:r>
        <w:r>
          <w:rPr>
            <w:noProof/>
            <w:webHidden/>
          </w:rPr>
          <w:t>14</w:t>
        </w:r>
        <w:r>
          <w:rPr>
            <w:noProof/>
            <w:webHidden/>
          </w:rPr>
          <w:fldChar w:fldCharType="end"/>
        </w:r>
      </w:hyperlink>
    </w:p>
    <w:p w14:paraId="05007259" w14:textId="1512B6FB" w:rsidR="00CC0767" w:rsidRDefault="00CC0767">
      <w:pPr>
        <w:pStyle w:val="TOC1"/>
        <w:rPr>
          <w:rFonts w:asciiTheme="minorHAnsi" w:hAnsiTheme="minorHAnsi"/>
          <w:noProof/>
          <w:kern w:val="2"/>
          <w:sz w:val="24"/>
          <w:lang w:eastAsia="en-AU"/>
          <w14:ligatures w14:val="standardContextual"/>
        </w:rPr>
      </w:pPr>
      <w:hyperlink w:anchor="_Toc198115849" w:history="1">
        <w:r w:rsidRPr="00983984">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_Toc198115849 \h </w:instrText>
        </w:r>
        <w:r>
          <w:rPr>
            <w:noProof/>
            <w:webHidden/>
          </w:rPr>
        </w:r>
        <w:r>
          <w:rPr>
            <w:noProof/>
            <w:webHidden/>
          </w:rPr>
          <w:fldChar w:fldCharType="separate"/>
        </w:r>
        <w:r>
          <w:rPr>
            <w:noProof/>
            <w:webHidden/>
          </w:rPr>
          <w:t>16</w:t>
        </w:r>
        <w:r>
          <w:rPr>
            <w:noProof/>
            <w:webHidden/>
          </w:rPr>
          <w:fldChar w:fldCharType="end"/>
        </w:r>
      </w:hyperlink>
    </w:p>
    <w:p w14:paraId="7D2F7F91" w14:textId="6E0891A1" w:rsidR="00CC0767" w:rsidRDefault="00CC0767">
      <w:pPr>
        <w:pStyle w:val="TOC1"/>
        <w:rPr>
          <w:rFonts w:asciiTheme="minorHAnsi" w:hAnsiTheme="minorHAnsi"/>
          <w:noProof/>
          <w:kern w:val="2"/>
          <w:sz w:val="24"/>
          <w:lang w:eastAsia="en-AU"/>
          <w14:ligatures w14:val="standardContextual"/>
        </w:rPr>
      </w:pPr>
      <w:hyperlink w:anchor="_Toc198115850" w:history="1">
        <w:r w:rsidRPr="00983984">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_Toc198115850 \h </w:instrText>
        </w:r>
        <w:r>
          <w:rPr>
            <w:noProof/>
            <w:webHidden/>
          </w:rPr>
        </w:r>
        <w:r>
          <w:rPr>
            <w:noProof/>
            <w:webHidden/>
          </w:rPr>
          <w:fldChar w:fldCharType="separate"/>
        </w:r>
        <w:r>
          <w:rPr>
            <w:noProof/>
            <w:webHidden/>
          </w:rPr>
          <w:t>19</w:t>
        </w:r>
        <w:r>
          <w:rPr>
            <w:noProof/>
            <w:webHidden/>
          </w:rPr>
          <w:fldChar w:fldCharType="end"/>
        </w:r>
      </w:hyperlink>
    </w:p>
    <w:p w14:paraId="223DE992" w14:textId="52B0A61B" w:rsidR="00CC0767" w:rsidRDefault="00CC0767">
      <w:pPr>
        <w:pStyle w:val="TOC1"/>
        <w:rPr>
          <w:rFonts w:asciiTheme="minorHAnsi" w:hAnsiTheme="minorHAnsi"/>
          <w:noProof/>
          <w:kern w:val="2"/>
          <w:sz w:val="24"/>
          <w:lang w:eastAsia="en-AU"/>
          <w14:ligatures w14:val="standardContextual"/>
        </w:rPr>
      </w:pPr>
      <w:hyperlink w:anchor="_Toc198115851" w:history="1">
        <w:r w:rsidRPr="00983984">
          <w:rPr>
            <w:rStyle w:val="Hyperlink"/>
            <w:noProof/>
          </w:rPr>
          <w:t>Section 62(1) of the Act – Funeral benefit</w:t>
        </w:r>
        <w:r>
          <w:rPr>
            <w:noProof/>
            <w:webHidden/>
          </w:rPr>
          <w:tab/>
        </w:r>
        <w:r>
          <w:rPr>
            <w:noProof/>
            <w:webHidden/>
          </w:rPr>
          <w:fldChar w:fldCharType="begin"/>
        </w:r>
        <w:r>
          <w:rPr>
            <w:noProof/>
            <w:webHidden/>
          </w:rPr>
          <w:instrText xml:space="preserve"> PAGEREF _Toc198115851 \h </w:instrText>
        </w:r>
        <w:r>
          <w:rPr>
            <w:noProof/>
            <w:webHidden/>
          </w:rPr>
        </w:r>
        <w:r>
          <w:rPr>
            <w:noProof/>
            <w:webHidden/>
          </w:rPr>
          <w:fldChar w:fldCharType="separate"/>
        </w:r>
        <w:r>
          <w:rPr>
            <w:noProof/>
            <w:webHidden/>
          </w:rPr>
          <w:t>19</w:t>
        </w:r>
        <w:r>
          <w:rPr>
            <w:noProof/>
            <w:webHidden/>
          </w:rPr>
          <w:fldChar w:fldCharType="end"/>
        </w:r>
      </w:hyperlink>
    </w:p>
    <w:p w14:paraId="3C363E50" w14:textId="3AFBB87E" w:rsidR="00CC0767" w:rsidRDefault="00CC0767">
      <w:pPr>
        <w:pStyle w:val="TOC1"/>
        <w:rPr>
          <w:rFonts w:asciiTheme="minorHAnsi" w:hAnsiTheme="minorHAnsi"/>
          <w:noProof/>
          <w:kern w:val="2"/>
          <w:sz w:val="24"/>
          <w:lang w:eastAsia="en-AU"/>
          <w14:ligatures w14:val="standardContextual"/>
        </w:rPr>
      </w:pPr>
      <w:hyperlink w:anchor="_Toc198115852" w:history="1">
        <w:r w:rsidRPr="00983984">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_Toc198115852 \h </w:instrText>
        </w:r>
        <w:r>
          <w:rPr>
            <w:noProof/>
            <w:webHidden/>
          </w:rPr>
        </w:r>
        <w:r>
          <w:rPr>
            <w:noProof/>
            <w:webHidden/>
          </w:rPr>
          <w:fldChar w:fldCharType="separate"/>
        </w:r>
        <w:r>
          <w:rPr>
            <w:noProof/>
            <w:webHidden/>
          </w:rPr>
          <w:t>20</w:t>
        </w:r>
        <w:r>
          <w:rPr>
            <w:noProof/>
            <w:webHidden/>
          </w:rPr>
          <w:fldChar w:fldCharType="end"/>
        </w:r>
      </w:hyperlink>
    </w:p>
    <w:p w14:paraId="0801465A" w14:textId="072F9082" w:rsidR="00CC0767" w:rsidRDefault="00CC0767">
      <w:pPr>
        <w:pStyle w:val="TOC1"/>
        <w:rPr>
          <w:rFonts w:asciiTheme="minorHAnsi" w:hAnsiTheme="minorHAnsi"/>
          <w:noProof/>
          <w:kern w:val="2"/>
          <w:sz w:val="24"/>
          <w:lang w:eastAsia="en-AU"/>
          <w14:ligatures w14:val="standardContextual"/>
        </w:rPr>
      </w:pPr>
      <w:hyperlink w:anchor="_Toc198115853" w:history="1">
        <w:r w:rsidRPr="00983984">
          <w:rPr>
            <w:rStyle w:val="Hyperlink"/>
            <w:noProof/>
          </w:rPr>
          <w:t>Section 69 of the Act – Sporting injuries</w:t>
        </w:r>
        <w:r>
          <w:rPr>
            <w:noProof/>
            <w:webHidden/>
          </w:rPr>
          <w:tab/>
        </w:r>
        <w:r>
          <w:rPr>
            <w:noProof/>
            <w:webHidden/>
          </w:rPr>
          <w:fldChar w:fldCharType="begin"/>
        </w:r>
        <w:r>
          <w:rPr>
            <w:noProof/>
            <w:webHidden/>
          </w:rPr>
          <w:instrText xml:space="preserve"> PAGEREF _Toc198115853 \h </w:instrText>
        </w:r>
        <w:r>
          <w:rPr>
            <w:noProof/>
            <w:webHidden/>
          </w:rPr>
        </w:r>
        <w:r>
          <w:rPr>
            <w:noProof/>
            <w:webHidden/>
          </w:rPr>
          <w:fldChar w:fldCharType="separate"/>
        </w:r>
        <w:r>
          <w:rPr>
            <w:noProof/>
            <w:webHidden/>
          </w:rPr>
          <w:t>20</w:t>
        </w:r>
        <w:r>
          <w:rPr>
            <w:noProof/>
            <w:webHidden/>
          </w:rPr>
          <w:fldChar w:fldCharType="end"/>
        </w:r>
      </w:hyperlink>
    </w:p>
    <w:p w14:paraId="33F4A285" w14:textId="474CD4F3" w:rsidR="00CC0767" w:rsidRDefault="00CC0767">
      <w:pPr>
        <w:pStyle w:val="TOC1"/>
        <w:rPr>
          <w:rFonts w:asciiTheme="minorHAnsi" w:hAnsiTheme="minorHAnsi"/>
          <w:noProof/>
          <w:kern w:val="2"/>
          <w:sz w:val="24"/>
          <w:lang w:eastAsia="en-AU"/>
          <w14:ligatures w14:val="standardContextual"/>
        </w:rPr>
      </w:pPr>
      <w:hyperlink w:anchor="_Toc198115854" w:history="1">
        <w:r w:rsidRPr="00983984">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_Toc198115854 \h </w:instrText>
        </w:r>
        <w:r>
          <w:rPr>
            <w:noProof/>
            <w:webHidden/>
          </w:rPr>
        </w:r>
        <w:r>
          <w:rPr>
            <w:noProof/>
            <w:webHidden/>
          </w:rPr>
          <w:fldChar w:fldCharType="separate"/>
        </w:r>
        <w:r>
          <w:rPr>
            <w:noProof/>
            <w:webHidden/>
          </w:rPr>
          <w:t>20</w:t>
        </w:r>
        <w:r>
          <w:rPr>
            <w:noProof/>
            <w:webHidden/>
          </w:rPr>
          <w:fldChar w:fldCharType="end"/>
        </w:r>
      </w:hyperlink>
    </w:p>
    <w:p w14:paraId="4B0B8828" w14:textId="05C1F306" w:rsidR="00CC0767" w:rsidRDefault="00CC0767">
      <w:pPr>
        <w:pStyle w:val="TOC1"/>
        <w:rPr>
          <w:rFonts w:asciiTheme="minorHAnsi" w:hAnsiTheme="minorHAnsi"/>
          <w:noProof/>
          <w:kern w:val="2"/>
          <w:sz w:val="24"/>
          <w:lang w:eastAsia="en-AU"/>
          <w14:ligatures w14:val="standardContextual"/>
        </w:rPr>
      </w:pPr>
      <w:hyperlink w:anchor="_Toc198115855" w:history="1">
        <w:r w:rsidRPr="00983984">
          <w:rPr>
            <w:rStyle w:val="Hyperlink"/>
            <w:noProof/>
          </w:rPr>
          <w:t>Section 106(1) of the Act – Costs</w:t>
        </w:r>
        <w:r>
          <w:rPr>
            <w:noProof/>
            <w:webHidden/>
          </w:rPr>
          <w:tab/>
        </w:r>
        <w:r>
          <w:rPr>
            <w:noProof/>
            <w:webHidden/>
          </w:rPr>
          <w:fldChar w:fldCharType="begin"/>
        </w:r>
        <w:r>
          <w:rPr>
            <w:noProof/>
            <w:webHidden/>
          </w:rPr>
          <w:instrText xml:space="preserve"> PAGEREF _Toc198115855 \h </w:instrText>
        </w:r>
        <w:r>
          <w:rPr>
            <w:noProof/>
            <w:webHidden/>
          </w:rPr>
        </w:r>
        <w:r>
          <w:rPr>
            <w:noProof/>
            <w:webHidden/>
          </w:rPr>
          <w:fldChar w:fldCharType="separate"/>
        </w:r>
        <w:r>
          <w:rPr>
            <w:noProof/>
            <w:webHidden/>
          </w:rPr>
          <w:t>21</w:t>
        </w:r>
        <w:r>
          <w:rPr>
            <w:noProof/>
            <w:webHidden/>
          </w:rPr>
          <w:fldChar w:fldCharType="end"/>
        </w:r>
      </w:hyperlink>
    </w:p>
    <w:p w14:paraId="14733715" w14:textId="485BC6C8" w:rsidR="00CC0767" w:rsidRDefault="00CC0767">
      <w:pPr>
        <w:pStyle w:val="TOC1"/>
        <w:rPr>
          <w:rFonts w:asciiTheme="minorHAnsi" w:hAnsiTheme="minorHAnsi"/>
          <w:noProof/>
          <w:kern w:val="2"/>
          <w:sz w:val="24"/>
          <w:lang w:eastAsia="en-AU"/>
          <w14:ligatures w14:val="standardContextual"/>
        </w:rPr>
      </w:pPr>
      <w:hyperlink w:anchor="_Toc198115856" w:history="1">
        <w:r w:rsidRPr="00983984">
          <w:rPr>
            <w:rStyle w:val="Hyperlink"/>
            <w:noProof/>
          </w:rPr>
          <w:t>Section 116 of the Act – Costs</w:t>
        </w:r>
        <w:r>
          <w:rPr>
            <w:noProof/>
            <w:webHidden/>
          </w:rPr>
          <w:tab/>
        </w:r>
        <w:r>
          <w:rPr>
            <w:noProof/>
            <w:webHidden/>
          </w:rPr>
          <w:fldChar w:fldCharType="begin"/>
        </w:r>
        <w:r>
          <w:rPr>
            <w:noProof/>
            <w:webHidden/>
          </w:rPr>
          <w:instrText xml:space="preserve"> PAGEREF _Toc198115856 \h </w:instrText>
        </w:r>
        <w:r>
          <w:rPr>
            <w:noProof/>
            <w:webHidden/>
          </w:rPr>
        </w:r>
        <w:r>
          <w:rPr>
            <w:noProof/>
            <w:webHidden/>
          </w:rPr>
          <w:fldChar w:fldCharType="separate"/>
        </w:r>
        <w:r>
          <w:rPr>
            <w:noProof/>
            <w:webHidden/>
          </w:rPr>
          <w:t>21</w:t>
        </w:r>
        <w:r>
          <w:rPr>
            <w:noProof/>
            <w:webHidden/>
          </w:rPr>
          <w:fldChar w:fldCharType="end"/>
        </w:r>
      </w:hyperlink>
    </w:p>
    <w:p w14:paraId="2314DE39" w14:textId="66A675E0" w:rsidR="00CC0767" w:rsidRDefault="00CC0767">
      <w:pPr>
        <w:pStyle w:val="TOC1"/>
        <w:rPr>
          <w:rFonts w:asciiTheme="minorHAnsi" w:hAnsiTheme="minorHAnsi"/>
          <w:noProof/>
          <w:kern w:val="2"/>
          <w:sz w:val="24"/>
          <w:lang w:eastAsia="en-AU"/>
          <w14:ligatures w14:val="standardContextual"/>
        </w:rPr>
      </w:pPr>
      <w:hyperlink w:anchor="_Toc198115857" w:history="1">
        <w:r w:rsidRPr="00983984">
          <w:rPr>
            <w:rStyle w:val="Hyperlink"/>
            <w:noProof/>
          </w:rPr>
          <w:t>Section 128 of the Act – Registration of employers</w:t>
        </w:r>
        <w:r>
          <w:rPr>
            <w:noProof/>
            <w:webHidden/>
          </w:rPr>
          <w:tab/>
        </w:r>
        <w:r>
          <w:rPr>
            <w:noProof/>
            <w:webHidden/>
          </w:rPr>
          <w:fldChar w:fldCharType="begin"/>
        </w:r>
        <w:r>
          <w:rPr>
            <w:noProof/>
            <w:webHidden/>
          </w:rPr>
          <w:instrText xml:space="preserve"> PAGEREF _Toc198115857 \h </w:instrText>
        </w:r>
        <w:r>
          <w:rPr>
            <w:noProof/>
            <w:webHidden/>
          </w:rPr>
        </w:r>
        <w:r>
          <w:rPr>
            <w:noProof/>
            <w:webHidden/>
          </w:rPr>
          <w:fldChar w:fldCharType="separate"/>
        </w:r>
        <w:r>
          <w:rPr>
            <w:noProof/>
            <w:webHidden/>
          </w:rPr>
          <w:t>22</w:t>
        </w:r>
        <w:r>
          <w:rPr>
            <w:noProof/>
            <w:webHidden/>
          </w:rPr>
          <w:fldChar w:fldCharType="end"/>
        </w:r>
      </w:hyperlink>
    </w:p>
    <w:p w14:paraId="729DF005" w14:textId="1874C56D" w:rsidR="00CC0767" w:rsidRDefault="00CC0767">
      <w:pPr>
        <w:pStyle w:val="TOC1"/>
        <w:rPr>
          <w:rFonts w:asciiTheme="minorHAnsi" w:hAnsiTheme="minorHAnsi"/>
          <w:noProof/>
          <w:kern w:val="2"/>
          <w:sz w:val="24"/>
          <w:lang w:eastAsia="en-AU"/>
          <w14:ligatures w14:val="standardContextual"/>
        </w:rPr>
      </w:pPr>
      <w:hyperlink w:anchor="_Toc198115858" w:history="1">
        <w:r w:rsidRPr="00983984">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_Toc198115858 \h </w:instrText>
        </w:r>
        <w:r>
          <w:rPr>
            <w:noProof/>
            <w:webHidden/>
          </w:rPr>
        </w:r>
        <w:r>
          <w:rPr>
            <w:noProof/>
            <w:webHidden/>
          </w:rPr>
          <w:fldChar w:fldCharType="separate"/>
        </w:r>
        <w:r>
          <w:rPr>
            <w:noProof/>
            <w:webHidden/>
          </w:rPr>
          <w:t>22</w:t>
        </w:r>
        <w:r>
          <w:rPr>
            <w:noProof/>
            <w:webHidden/>
          </w:rPr>
          <w:fldChar w:fldCharType="end"/>
        </w:r>
      </w:hyperlink>
    </w:p>
    <w:p w14:paraId="300DDC50" w14:textId="73E4678A" w:rsidR="00CC0767" w:rsidRDefault="00CC0767">
      <w:pPr>
        <w:pStyle w:val="TOC1"/>
        <w:rPr>
          <w:rFonts w:asciiTheme="minorHAnsi" w:hAnsiTheme="minorHAnsi"/>
          <w:noProof/>
          <w:kern w:val="2"/>
          <w:sz w:val="24"/>
          <w:lang w:eastAsia="en-AU"/>
          <w14:ligatures w14:val="standardContextual"/>
        </w:rPr>
      </w:pPr>
      <w:hyperlink w:anchor="_Toc198115859" w:history="1">
        <w:r w:rsidRPr="00983984">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_Toc198115859 \h </w:instrText>
        </w:r>
        <w:r>
          <w:rPr>
            <w:noProof/>
            <w:webHidden/>
          </w:rPr>
        </w:r>
        <w:r>
          <w:rPr>
            <w:noProof/>
            <w:webHidden/>
          </w:rPr>
          <w:fldChar w:fldCharType="separate"/>
        </w:r>
        <w:r>
          <w:rPr>
            <w:noProof/>
            <w:webHidden/>
          </w:rPr>
          <w:t>23</w:t>
        </w:r>
        <w:r>
          <w:rPr>
            <w:noProof/>
            <w:webHidden/>
          </w:rPr>
          <w:fldChar w:fldCharType="end"/>
        </w:r>
      </w:hyperlink>
    </w:p>
    <w:p w14:paraId="1EC9C381" w14:textId="7775181A" w:rsidR="00CC0767" w:rsidRDefault="00CC0767">
      <w:pPr>
        <w:pStyle w:val="TOC1"/>
        <w:rPr>
          <w:rFonts w:asciiTheme="minorHAnsi" w:hAnsiTheme="minorHAnsi"/>
          <w:noProof/>
          <w:kern w:val="2"/>
          <w:sz w:val="24"/>
          <w:lang w:eastAsia="en-AU"/>
          <w14:ligatures w14:val="standardContextual"/>
        </w:rPr>
      </w:pPr>
      <w:hyperlink w:anchor="_Toc198115860" w:history="1">
        <w:r w:rsidRPr="00983984">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_Toc198115860 \h </w:instrText>
        </w:r>
        <w:r>
          <w:rPr>
            <w:noProof/>
            <w:webHidden/>
          </w:rPr>
        </w:r>
        <w:r>
          <w:rPr>
            <w:noProof/>
            <w:webHidden/>
          </w:rPr>
          <w:fldChar w:fldCharType="separate"/>
        </w:r>
        <w:r>
          <w:rPr>
            <w:noProof/>
            <w:webHidden/>
          </w:rPr>
          <w:t>23</w:t>
        </w:r>
        <w:r>
          <w:rPr>
            <w:noProof/>
            <w:webHidden/>
          </w:rPr>
          <w:fldChar w:fldCharType="end"/>
        </w:r>
      </w:hyperlink>
    </w:p>
    <w:p w14:paraId="1333A3EA" w14:textId="3D5DE88E"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98115833"/>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198115834"/>
      <w:r w:rsidRPr="004B566F">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98115835"/>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 xml:space="preserve">in the performance of the </w:t>
            </w:r>
            <w:proofErr w:type="gramStart"/>
            <w:r w:rsidR="006B50CD" w:rsidRPr="00056ECC">
              <w:rPr>
                <w:rFonts w:eastAsia="MS Mincho" w:cs="Times New Roman"/>
                <w:sz w:val="20"/>
                <w:szCs w:val="20"/>
                <w:lang w:val="en-US" w:eastAsia="en-AU"/>
              </w:rPr>
              <w:t>par</w:t>
            </w:r>
            <w:r>
              <w:rPr>
                <w:rFonts w:eastAsia="MS Mincho" w:cs="Times New Roman"/>
                <w:sz w:val="20"/>
                <w:szCs w:val="20"/>
                <w:lang w:val="en-US" w:eastAsia="en-AU"/>
              </w:rPr>
              <w:t>ticular work</w:t>
            </w:r>
            <w:proofErr w:type="gramEnd"/>
            <w:r>
              <w:rPr>
                <w:rFonts w:eastAsia="MS Mincho" w:cs="Times New Roman"/>
                <w:sz w:val="20"/>
                <w:szCs w:val="20"/>
                <w:lang w:val="en-US" w:eastAsia="en-AU"/>
              </w:rPr>
              <w:t>)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3743E7" w:rsidRPr="00056ECC" w14:paraId="7D39E77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0AA01F5" w14:textId="4FE173E5" w:rsidR="003743E7" w:rsidRDefault="003743E7"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519FCE7" w14:textId="1BF99E78"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$160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1080F26" w14:textId="02B24F39" w:rsidR="003743E7" w:rsidRDefault="006B14BF" w:rsidP="00C454A3">
            <w:pPr>
              <w:spacing w:before="40" w:after="40" w:line="240" w:lineRule="auto"/>
              <w:jc w:val="left"/>
              <w:rPr>
                <w:rFonts w:eastAsia="MS Mincho" w:cs="Arial"/>
                <w:color w:val="000000"/>
                <w:sz w:val="20"/>
                <w:szCs w:val="20"/>
              </w:rPr>
            </w:pPr>
            <w:r>
              <w:rPr>
                <w:rFonts w:eastAsia="MS Mincho" w:cs="Arial"/>
                <w:color w:val="000000"/>
                <w:sz w:val="20"/>
                <w:szCs w:val="20"/>
              </w:rPr>
              <w:t>$25,210</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6CDC9A38"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14BF" w:rsidRPr="00A52709" w14:paraId="224FFAF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9A628A1" w14:textId="2D6DC389"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66717A02" w14:textId="4FC45C90"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A62908B" w14:textId="33940E24"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$80</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6B14BF" w:rsidRPr="00A52709" w14:paraId="18881C5F"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FC4E075" w14:textId="78BD682E" w:rsidR="006B14BF" w:rsidRDefault="006B14BF"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6EE3E867" w14:textId="153720CC"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857BA05" w14:textId="2373EFF3" w:rsidR="006B14BF" w:rsidRDefault="006B14BF" w:rsidP="00C454A3">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w:t>
            </w:r>
            <w:proofErr w:type="gramStart"/>
            <w:r w:rsidR="00A43A8D" w:rsidRPr="00115BA9">
              <w:rPr>
                <w:rFonts w:eastAsia="MS Mincho" w:cs="Times New Roman"/>
                <w:sz w:val="20"/>
                <w:szCs w:val="20"/>
                <w:lang w:val="en-US" w:eastAsia="en-AU"/>
              </w:rPr>
              <w:t>whether or not</w:t>
            </w:r>
            <w:proofErr w:type="gramEnd"/>
            <w:r w:rsidR="00A43A8D" w:rsidRPr="00115BA9">
              <w:rPr>
                <w:rFonts w:eastAsia="MS Mincho" w:cs="Times New Roman"/>
                <w:sz w:val="20"/>
                <w:szCs w:val="20"/>
                <w:lang w:val="en-US" w:eastAsia="en-AU"/>
              </w:rPr>
              <w:t xml:space="preserve">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A52709" w14:paraId="5B4216A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5A2D3DE" w14:textId="015879A5" w:rsidR="002C0E1D" w:rsidRDefault="002C0E1D" w:rsidP="004B566F">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A69229" w14:textId="2B635717" w:rsidR="002C0E1D" w:rsidRDefault="002C0E1D" w:rsidP="004B566F">
            <w:pPr>
              <w:spacing w:before="40" w:after="40" w:line="240" w:lineRule="auto"/>
              <w:jc w:val="left"/>
              <w:rPr>
                <w:rFonts w:eastAsia="MS Mincho" w:cs="Times New Roman"/>
                <w:sz w:val="20"/>
                <w:szCs w:val="20"/>
              </w:rPr>
            </w:pPr>
            <w:r>
              <w:rPr>
                <w:rFonts w:eastAsia="MS Mincho" w:cs="Times New Roman"/>
                <w:sz w:val="20"/>
                <w:szCs w:val="20"/>
              </w:rPr>
              <w:t>$160</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w:t>
            </w:r>
            <w:proofErr w:type="gramStart"/>
            <w:r w:rsidRPr="00115BA9">
              <w:rPr>
                <w:rFonts w:eastAsia="MS Mincho" w:cs="Times New Roman"/>
                <w:sz w:val="20"/>
                <w:szCs w:val="20"/>
                <w:lang w:val="en-US" w:eastAsia="en-AU"/>
              </w:rPr>
              <w:t>taxi-cab</w:t>
            </w:r>
            <w:proofErr w:type="gramEnd"/>
            <w:r w:rsidRPr="00115BA9">
              <w:rPr>
                <w:rFonts w:eastAsia="MS Mincho" w:cs="Times New Roman"/>
                <w:sz w:val="20"/>
                <w:szCs w:val="20"/>
                <w:lang w:val="en-US" w:eastAsia="en-AU"/>
              </w:rPr>
              <w:t xml:space="preserve">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121DED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5B76F9A" w14:textId="5C53B031"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9411DB8" w14:textId="275880C4"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w:t>
            </w:r>
            <w:proofErr w:type="gramStart"/>
            <w:r w:rsidRPr="00115BA9">
              <w:rPr>
                <w:rFonts w:eastAsia="MS Mincho" w:cs="Times New Roman"/>
                <w:sz w:val="20"/>
                <w:szCs w:val="20"/>
                <w:lang w:val="en-US" w:eastAsia="en-AU"/>
              </w:rPr>
              <w:t>transporting by</w:t>
            </w:r>
            <w:proofErr w:type="gramEnd"/>
            <w:r w:rsidRPr="00115BA9">
              <w:rPr>
                <w:rFonts w:eastAsia="MS Mincho" w:cs="Times New Roman"/>
                <w:sz w:val="20"/>
                <w:szCs w:val="20"/>
                <w:lang w:val="en-US" w:eastAsia="en-AU"/>
              </w:rPr>
              <w:t xml:space="preserve">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2C0E1D" w:rsidRPr="004D7476" w14:paraId="54836F3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C0BE96" w14:textId="6C47EA15" w:rsidR="002C0E1D" w:rsidRDefault="002C0E1D" w:rsidP="004D7476">
            <w:pPr>
              <w:spacing w:before="40" w:after="40" w:line="240" w:lineRule="auto"/>
              <w:jc w:val="center"/>
              <w:rPr>
                <w:rFonts w:eastAsia="MS Mincho" w:cs="Times New Roman"/>
                <w:sz w:val="20"/>
                <w:szCs w:val="20"/>
              </w:rPr>
            </w:pPr>
            <w:r>
              <w:rPr>
                <w:rFonts w:eastAsia="MS Mincho" w:cs="Times New Roman"/>
                <w:sz w:val="20"/>
                <w:szCs w:val="20"/>
              </w:rPr>
              <w:t>1/1/202</w:t>
            </w:r>
            <w:r w:rsidR="00B711FD">
              <w:rPr>
                <w:rFonts w:eastAsia="MS Mincho" w:cs="Times New Roman"/>
                <w:sz w:val="20"/>
                <w:szCs w:val="20"/>
              </w:rPr>
              <w:t>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55C645F" w14:textId="119DE143" w:rsidR="002C0E1D" w:rsidRDefault="002C0E1D" w:rsidP="004D7476">
            <w:pPr>
              <w:spacing w:before="40" w:after="40" w:line="240" w:lineRule="auto"/>
              <w:jc w:val="left"/>
              <w:rPr>
                <w:rFonts w:eastAsia="MS Mincho" w:cs="Times New Roman"/>
                <w:sz w:val="20"/>
                <w:szCs w:val="20"/>
              </w:rPr>
            </w:pPr>
            <w:r>
              <w:rPr>
                <w:rFonts w:eastAsia="MS Mincho" w:cs="Times New Roman"/>
                <w:sz w:val="20"/>
                <w:szCs w:val="20"/>
              </w:rPr>
              <w:t>$160</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w:t>
            </w:r>
            <w:proofErr w:type="gramStart"/>
            <w:r w:rsidRPr="00C325CF">
              <w:rPr>
                <w:rFonts w:eastAsia="MS Mincho" w:cs="Times New Roman"/>
                <w:sz w:val="20"/>
                <w:szCs w:val="20"/>
                <w:lang w:val="en-US" w:eastAsia="en-AU"/>
              </w:rPr>
              <w:t>recital</w:t>
            </w:r>
            <w:proofErr w:type="gramEnd"/>
            <w:r w:rsidRPr="00C325CF">
              <w:rPr>
                <w:rFonts w:eastAsia="MS Mincho" w:cs="Times New Roman"/>
                <w:sz w:val="20"/>
                <w:szCs w:val="20"/>
                <w:lang w:val="en-US" w:eastAsia="en-AU"/>
              </w:rPr>
              <w:t xml:space="preserve">, opera, </w:t>
            </w:r>
            <w:proofErr w:type="gramStart"/>
            <w:r w:rsidRPr="00C325CF">
              <w:rPr>
                <w:rFonts w:eastAsia="MS Mincho" w:cs="Times New Roman"/>
                <w:sz w:val="20"/>
                <w:szCs w:val="20"/>
                <w:lang w:val="en-US" w:eastAsia="en-AU"/>
              </w:rPr>
              <w:t>operetta</w:t>
            </w:r>
            <w:proofErr w:type="gramEnd"/>
            <w:r w:rsidRPr="00C325CF">
              <w:rPr>
                <w:rFonts w:eastAsia="MS Mincho" w:cs="Times New Roman"/>
                <w:sz w:val="20"/>
                <w:szCs w:val="20"/>
                <w:lang w:val="en-US" w:eastAsia="en-AU"/>
              </w:rPr>
              <w:t>,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B26A81" w:rsidRPr="004D7476" w14:paraId="444AFAB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8570714" w14:textId="576258F9" w:rsidR="00B26A81" w:rsidRDefault="00B26A81" w:rsidP="004D7476">
            <w:pPr>
              <w:spacing w:before="40" w:after="40" w:line="240" w:lineRule="auto"/>
              <w:jc w:val="center"/>
              <w:rPr>
                <w:rFonts w:eastAsia="MS Mincho" w:cs="Times New Roman"/>
                <w:sz w:val="20"/>
                <w:szCs w:val="20"/>
              </w:rPr>
            </w:pPr>
            <w:r>
              <w:rPr>
                <w:rFonts w:eastAsia="MS Mincho" w:cs="Times New Roman"/>
                <w:sz w:val="20"/>
                <w:szCs w:val="20"/>
              </w:rPr>
              <w:t>1/1/2025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DB783E0" w14:textId="7E76CA11" w:rsidR="00B26A81" w:rsidRDefault="00B26A81" w:rsidP="004D7476">
            <w:pPr>
              <w:spacing w:before="40" w:after="40" w:line="240" w:lineRule="auto"/>
              <w:jc w:val="left"/>
              <w:rPr>
                <w:rFonts w:eastAsia="MS Mincho" w:cs="Times New Roman"/>
                <w:sz w:val="20"/>
                <w:szCs w:val="20"/>
              </w:rPr>
            </w:pPr>
            <w:r>
              <w:rPr>
                <w:rFonts w:eastAsia="MS Mincho" w:cs="Times New Roman"/>
                <w:sz w:val="20"/>
                <w:szCs w:val="20"/>
              </w:rPr>
              <w:t>$160</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98115836"/>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r w:rsidR="00682D93" w:rsidRPr="004A7FFE" w14:paraId="6023BBD6" w14:textId="77777777" w:rsidTr="00E843EE">
        <w:trPr>
          <w:cantSplit/>
        </w:trPr>
        <w:tc>
          <w:tcPr>
            <w:tcW w:w="2604" w:type="dxa"/>
            <w:shd w:val="clear" w:color="auto" w:fill="auto"/>
          </w:tcPr>
          <w:p w14:paraId="14124CBD" w14:textId="536CC5A7"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20/02/2025</w:t>
            </w:r>
          </w:p>
        </w:tc>
        <w:tc>
          <w:tcPr>
            <w:tcW w:w="2814" w:type="dxa"/>
            <w:shd w:val="clear" w:color="auto" w:fill="auto"/>
          </w:tcPr>
          <w:p w14:paraId="1D169F11" w14:textId="439E724A"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$1,930.30</w:t>
            </w:r>
          </w:p>
        </w:tc>
        <w:tc>
          <w:tcPr>
            <w:tcW w:w="2814" w:type="dxa"/>
          </w:tcPr>
          <w:p w14:paraId="07E10FB1" w14:textId="0C6FCC3F" w:rsidR="00682D93" w:rsidRDefault="00682D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$3,860.60</w:t>
            </w:r>
          </w:p>
        </w:tc>
      </w:tr>
    </w:tbl>
    <w:p w14:paraId="2F36EBF3" w14:textId="77777777" w:rsidR="002C7EEB" w:rsidRDefault="002C7EEB" w:rsidP="003B2902">
      <w:pPr>
        <w:pStyle w:val="Heading1"/>
      </w:pPr>
      <w:bookmarkStart w:id="18" w:name="_Toc404875849"/>
      <w:bookmarkStart w:id="19" w:name="_Toc413755993"/>
      <w:bookmarkStart w:id="20" w:name="_Toc141257455"/>
    </w:p>
    <w:p w14:paraId="3A4E59E1" w14:textId="77777777" w:rsidR="002C7EEB" w:rsidRDefault="002C7EEB">
      <w:pPr>
        <w:spacing w:line="240" w:lineRule="auto"/>
        <w:jc w:val="left"/>
        <w:rPr>
          <w:rFonts w:ascii="Source Sans Pro" w:eastAsiaTheme="majorEastAsia" w:hAnsi="Source Sans Pro" w:cs="Helvetica"/>
          <w:b/>
          <w:bCs/>
          <w:color w:val="A21C26"/>
          <w:szCs w:val="22"/>
        </w:rPr>
      </w:pPr>
      <w:r>
        <w:br w:type="page"/>
      </w:r>
    </w:p>
    <w:p w14:paraId="744919B6" w14:textId="690685F8" w:rsidR="006B50CD" w:rsidRPr="00A52709" w:rsidRDefault="006B50CD" w:rsidP="003B2902">
      <w:pPr>
        <w:pStyle w:val="Heading1"/>
      </w:pPr>
      <w:bookmarkStart w:id="21" w:name="_Toc198115837"/>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B26A81" w:rsidRPr="00A52709" w14:paraId="6E41D3E3" w14:textId="77777777" w:rsidTr="001B79DE">
        <w:trPr>
          <w:cantSplit/>
          <w:trHeight w:val="270"/>
        </w:trPr>
        <w:tc>
          <w:tcPr>
            <w:tcW w:w="2410" w:type="dxa"/>
            <w:tcBorders>
              <w:bottom w:val="single" w:sz="2" w:space="0" w:color="A81C26"/>
            </w:tcBorders>
            <w:shd w:val="clear" w:color="auto" w:fill="auto"/>
          </w:tcPr>
          <w:p w14:paraId="77DB3F8A" w14:textId="78BA0FB0"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71" w:type="dxa"/>
            <w:gridSpan w:val="2"/>
            <w:tcBorders>
              <w:bottom w:val="single" w:sz="2" w:space="0" w:color="A81C26"/>
            </w:tcBorders>
            <w:shd w:val="clear" w:color="auto" w:fill="auto"/>
          </w:tcPr>
          <w:p w14:paraId="312186EC" w14:textId="6ABEA8B4" w:rsidR="00B26A81" w:rsidRDefault="00B26A81"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$534</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B26A81" w:rsidRPr="00A52709" w14:paraId="4FDBA2D8" w14:textId="77777777" w:rsidTr="00F03003">
        <w:trPr>
          <w:cantSplit/>
          <w:trHeight w:val="270"/>
        </w:trPr>
        <w:tc>
          <w:tcPr>
            <w:tcW w:w="2410" w:type="dxa"/>
            <w:shd w:val="clear" w:color="auto" w:fill="auto"/>
          </w:tcPr>
          <w:p w14:paraId="1E876E4A" w14:textId="245EA652" w:rsidR="00B26A81" w:rsidRDefault="00B26A81"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310" w:type="dxa"/>
            <w:shd w:val="clear" w:color="auto" w:fill="auto"/>
          </w:tcPr>
          <w:p w14:paraId="4C9EC348" w14:textId="52AA6B90"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5961" w:type="dxa"/>
            <w:shd w:val="clear" w:color="auto" w:fill="auto"/>
          </w:tcPr>
          <w:p w14:paraId="01B6760E" w14:textId="47A4C3D2" w:rsidR="00B26A81" w:rsidRDefault="00B26A81"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98115838"/>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3E3FE8">
        <w:trPr>
          <w:cantSplit/>
          <w:trHeight w:val="270"/>
        </w:trPr>
        <w:tc>
          <w:tcPr>
            <w:tcW w:w="2410" w:type="dxa"/>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r w:rsidR="00B26A81" w:rsidRPr="00096FF9" w14:paraId="5903C307" w14:textId="77777777" w:rsidTr="00C454A3">
        <w:trPr>
          <w:cantSplit/>
          <w:trHeight w:val="270"/>
        </w:trPr>
        <w:tc>
          <w:tcPr>
            <w:tcW w:w="2410" w:type="dxa"/>
            <w:tcBorders>
              <w:bottom w:val="single" w:sz="2" w:space="0" w:color="A81C26"/>
            </w:tcBorders>
            <w:shd w:val="clear" w:color="auto" w:fill="auto"/>
          </w:tcPr>
          <w:p w14:paraId="708D69DF" w14:textId="1644B3D4" w:rsidR="00B26A81" w:rsidRDefault="00B26A81"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539" w:type="dxa"/>
            <w:tcBorders>
              <w:bottom w:val="single" w:sz="2" w:space="0" w:color="A81C26"/>
            </w:tcBorders>
            <w:shd w:val="clear" w:color="auto" w:fill="auto"/>
          </w:tcPr>
          <w:p w14:paraId="7C2387F8" w14:textId="6936F2B6"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$286/day</w:t>
            </w:r>
          </w:p>
        </w:tc>
        <w:tc>
          <w:tcPr>
            <w:tcW w:w="3732" w:type="dxa"/>
            <w:tcBorders>
              <w:bottom w:val="single" w:sz="2" w:space="0" w:color="A81C26"/>
            </w:tcBorders>
            <w:shd w:val="clear" w:color="auto" w:fill="auto"/>
          </w:tcPr>
          <w:p w14:paraId="7A242DF3" w14:textId="2C5C1D4F" w:rsidR="00B26A81" w:rsidRDefault="00B26A81"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$115/day</w:t>
            </w:r>
          </w:p>
        </w:tc>
      </w:tr>
    </w:tbl>
    <w:p w14:paraId="0441F735" w14:textId="370828B7" w:rsidR="00B94765" w:rsidRDefault="006B50CD" w:rsidP="003B2902">
      <w:pPr>
        <w:pStyle w:val="Heading1"/>
      </w:pPr>
      <w:bookmarkStart w:id="26" w:name="_Toc404875851"/>
      <w:bookmarkStart w:id="27" w:name="_Toc413755995"/>
      <w:bookmarkStart w:id="28" w:name="_Toc141257457"/>
      <w:bookmarkStart w:id="29" w:name="_Toc198115839"/>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r w:rsidR="00B26A81" w:rsidRPr="0097442F" w14:paraId="4ED0238D" w14:textId="77777777" w:rsidTr="008B7730">
        <w:tc>
          <w:tcPr>
            <w:tcW w:w="2436" w:type="dxa"/>
            <w:tcBorders>
              <w:right w:val="single" w:sz="2" w:space="0" w:color="A81C26"/>
            </w:tcBorders>
            <w:shd w:val="clear" w:color="auto" w:fill="auto"/>
          </w:tcPr>
          <w:p w14:paraId="381BA955" w14:textId="76B88F7A" w:rsidR="00B26A81" w:rsidRDefault="00B26A81"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7" w:type="dxa"/>
            <w:tcBorders>
              <w:left w:val="single" w:sz="2" w:space="0" w:color="A81C26"/>
            </w:tcBorders>
            <w:shd w:val="clear" w:color="auto" w:fill="auto"/>
          </w:tcPr>
          <w:p w14:paraId="183BF26E" w14:textId="0CE14B32" w:rsidR="00B26A81" w:rsidRDefault="00E06E80" w:rsidP="003E3FE8">
            <w:pPr>
              <w:tabs>
                <w:tab w:val="left" w:pos="945"/>
              </w:tabs>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56.4c/km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198115840"/>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r w:rsidR="00E06E80" w:rsidRPr="0097442F" w14:paraId="4ABBE089" w14:textId="77777777" w:rsidTr="008223EE">
        <w:tc>
          <w:tcPr>
            <w:tcW w:w="2410" w:type="dxa"/>
            <w:tcBorders>
              <w:right w:val="single" w:sz="2" w:space="0" w:color="A81C26"/>
            </w:tcBorders>
            <w:shd w:val="clear" w:color="auto" w:fill="auto"/>
          </w:tcPr>
          <w:p w14:paraId="3B636731" w14:textId="242204CE" w:rsidR="00E06E80" w:rsidRDefault="00E06E8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90" w:type="dxa"/>
            <w:tcBorders>
              <w:left w:val="single" w:sz="2" w:space="0" w:color="A81C26"/>
            </w:tcBorders>
            <w:shd w:val="clear" w:color="auto" w:fill="auto"/>
          </w:tcPr>
          <w:p w14:paraId="6F7A87E2" w14:textId="32CDE13E" w:rsidR="00E06E80" w:rsidRDefault="00E06E8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$368</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198115841"/>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3E3FE8">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r w:rsidR="00E06E80" w:rsidRPr="0097442F" w14:paraId="3E59BF59" w14:textId="77777777" w:rsidTr="0071177D">
        <w:trPr>
          <w:cantSplit/>
        </w:trPr>
        <w:tc>
          <w:tcPr>
            <w:tcW w:w="2422" w:type="dxa"/>
            <w:tcBorders>
              <w:right w:val="single" w:sz="2" w:space="0" w:color="A81C26"/>
            </w:tcBorders>
            <w:shd w:val="clear" w:color="auto" w:fill="auto"/>
          </w:tcPr>
          <w:p w14:paraId="45DFF1A9" w14:textId="7F119E52" w:rsidR="00E06E80" w:rsidRDefault="00E06E80"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4689" w:type="dxa"/>
            <w:tcBorders>
              <w:top w:val="single" w:sz="2" w:space="0" w:color="A81C26"/>
              <w:left w:val="single" w:sz="2" w:space="0" w:color="A81C26"/>
              <w:right w:val="single" w:sz="2" w:space="0" w:color="A81C26"/>
            </w:tcBorders>
            <w:shd w:val="clear" w:color="auto" w:fill="auto"/>
          </w:tcPr>
          <w:p w14:paraId="3B46C027" w14:textId="2D8F0857" w:rsidR="00E06E80" w:rsidRDefault="00E06E80"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24467741" w14:textId="26953F1D" w:rsidR="00E06E80" w:rsidRDefault="00E06E80"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$3,152</w:t>
            </w:r>
          </w:p>
        </w:tc>
      </w:tr>
    </w:tbl>
    <w:p w14:paraId="01B6BE8A" w14:textId="77777777" w:rsidR="00542C64" w:rsidRDefault="005A4EC2" w:rsidP="003B2902">
      <w:pPr>
        <w:pStyle w:val="Heading1"/>
      </w:pPr>
      <w:bookmarkStart w:id="38" w:name="_Toc141257460"/>
      <w:bookmarkStart w:id="39" w:name="_Toc198115842"/>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r w:rsidR="00E73722" w:rsidRPr="000A23DA" w14:paraId="549FECE9" w14:textId="77777777" w:rsidTr="003C066E">
        <w:tc>
          <w:tcPr>
            <w:tcW w:w="3861" w:type="dxa"/>
            <w:tcBorders>
              <w:right w:val="single" w:sz="2" w:space="0" w:color="A81C26"/>
            </w:tcBorders>
            <w:shd w:val="clear" w:color="auto" w:fill="auto"/>
          </w:tcPr>
          <w:p w14:paraId="1D2F36E4" w14:textId="351AF769" w:rsidR="00E73722" w:rsidRDefault="00E7372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759946E" w14:textId="6A7CEDC2" w:rsidR="00E73722" w:rsidRDefault="00E7372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w:t>
            </w:r>
          </w:p>
        </w:tc>
        <w:tc>
          <w:tcPr>
            <w:tcW w:w="4038" w:type="dxa"/>
            <w:tcBorders>
              <w:top w:val="single" w:sz="2" w:space="0" w:color="A81C26"/>
              <w:left w:val="single" w:sz="2" w:space="0" w:color="A81C26"/>
              <w:bottom w:val="single" w:sz="2" w:space="0" w:color="A81C26"/>
            </w:tcBorders>
            <w:shd w:val="clear" w:color="auto" w:fill="auto"/>
          </w:tcPr>
          <w:p w14:paraId="02A0245E" w14:textId="40FE370F" w:rsidR="00E73722" w:rsidRDefault="00E7372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29/01/2025</w:t>
            </w:r>
          </w:p>
        </w:tc>
      </w:tr>
      <w:tr w:rsidR="008B3FD2" w:rsidRPr="000A23DA" w14:paraId="4721C91E" w14:textId="77777777" w:rsidTr="003C066E">
        <w:tc>
          <w:tcPr>
            <w:tcW w:w="3861" w:type="dxa"/>
            <w:tcBorders>
              <w:right w:val="single" w:sz="2" w:space="0" w:color="A81C26"/>
            </w:tcBorders>
            <w:shd w:val="clear" w:color="auto" w:fill="auto"/>
          </w:tcPr>
          <w:p w14:paraId="3A43583C" w14:textId="11B2FA42" w:rsidR="008B3FD2" w:rsidRDefault="008B3FD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49CCCB7" w14:textId="07C5FE6D" w:rsidR="008B3FD2" w:rsidRDefault="008B3FD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141.2</w:t>
            </w:r>
          </w:p>
        </w:tc>
        <w:tc>
          <w:tcPr>
            <w:tcW w:w="4038" w:type="dxa"/>
            <w:tcBorders>
              <w:top w:val="single" w:sz="2" w:space="0" w:color="A81C26"/>
              <w:left w:val="single" w:sz="2" w:space="0" w:color="A81C26"/>
              <w:bottom w:val="single" w:sz="2" w:space="0" w:color="A81C26"/>
            </w:tcBorders>
            <w:shd w:val="clear" w:color="auto" w:fill="auto"/>
          </w:tcPr>
          <w:p w14:paraId="4E6656EE" w14:textId="484D7458" w:rsidR="008B3FD2" w:rsidRDefault="008B3FD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30/04/2025</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98115843"/>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r w:rsidR="00113C45" w:rsidRPr="000A23DA" w14:paraId="62EFC3B2" w14:textId="77777777" w:rsidTr="00EB0738">
        <w:tc>
          <w:tcPr>
            <w:tcW w:w="3360" w:type="dxa"/>
            <w:tcBorders>
              <w:right w:val="single" w:sz="2" w:space="0" w:color="A81C26"/>
            </w:tcBorders>
            <w:shd w:val="clear" w:color="auto" w:fill="auto"/>
          </w:tcPr>
          <w:p w14:paraId="042717CC" w14:textId="7F678ABA" w:rsidR="00113C45" w:rsidRDefault="00113C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2023 to December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AC88CBA" w14:textId="7C0B7F08" w:rsidR="00113C45" w:rsidRDefault="00113C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w:t>
            </w:r>
          </w:p>
        </w:tc>
        <w:tc>
          <w:tcPr>
            <w:tcW w:w="4780" w:type="dxa"/>
            <w:tcBorders>
              <w:top w:val="single" w:sz="2" w:space="0" w:color="A81C26"/>
              <w:left w:val="single" w:sz="2" w:space="0" w:color="A81C26"/>
              <w:bottom w:val="single" w:sz="2" w:space="0" w:color="A81C26"/>
            </w:tcBorders>
            <w:shd w:val="clear" w:color="auto" w:fill="auto"/>
          </w:tcPr>
          <w:p w14:paraId="2ACBAE70" w14:textId="1C17CFB0" w:rsidR="00113C45" w:rsidRDefault="00113C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w:t>
            </w:r>
            <w:r w:rsidR="008F004C">
              <w:rPr>
                <w:rFonts w:ascii="Source Sans Pro" w:eastAsia="Times New Roman" w:hAnsi="Source Sans Pro" w:cs="Times New Roman"/>
                <w:sz w:val="20"/>
                <w:szCs w:val="20"/>
                <w:lang w:eastAsia="en-AU"/>
              </w:rPr>
              <w:t>5</w:t>
            </w:r>
          </w:p>
        </w:tc>
      </w:tr>
      <w:tr w:rsidR="00361866" w:rsidRPr="000A23DA" w14:paraId="3DACC5DD" w14:textId="77777777" w:rsidTr="00EB0738">
        <w:tc>
          <w:tcPr>
            <w:tcW w:w="3360" w:type="dxa"/>
            <w:tcBorders>
              <w:right w:val="single" w:sz="2" w:space="0" w:color="A81C26"/>
            </w:tcBorders>
            <w:shd w:val="clear" w:color="auto" w:fill="auto"/>
          </w:tcPr>
          <w:p w14:paraId="3AE57C53" w14:textId="57F24100" w:rsidR="00361866" w:rsidRDefault="0036186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2024 to March 2025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0DF5180" w14:textId="159B8CAD" w:rsidR="00361866" w:rsidRDefault="006B042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r w:rsidR="00361866">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62464AB4" w14:textId="16EB3F38" w:rsidR="00361866" w:rsidRDefault="00361866"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14/05/2025</w:t>
            </w:r>
          </w:p>
        </w:tc>
      </w:tr>
    </w:tbl>
    <w:p w14:paraId="0796241B" w14:textId="528AB622" w:rsidR="006B50CD" w:rsidRDefault="006B50CD" w:rsidP="003B2902">
      <w:pPr>
        <w:pStyle w:val="Heading1"/>
      </w:pPr>
      <w:bookmarkStart w:id="44" w:name="_Toc413755999"/>
      <w:bookmarkStart w:id="45" w:name="_Toc404875855"/>
      <w:bookmarkStart w:id="46" w:name="_Toc141257462"/>
      <w:bookmarkStart w:id="47" w:name="_Toc198115844"/>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545F3946" w14:textId="77777777" w:rsidTr="000B382C">
        <w:trPr>
          <w:cantSplit/>
        </w:trPr>
        <w:tc>
          <w:tcPr>
            <w:tcW w:w="2410" w:type="dxa"/>
            <w:tcBorders>
              <w:right w:val="single" w:sz="2" w:space="0" w:color="A81C26"/>
            </w:tcBorders>
            <w:shd w:val="clear" w:color="auto" w:fill="auto"/>
          </w:tcPr>
          <w:p w14:paraId="4A758DF8" w14:textId="6D4C5D80" w:rsidR="00E06E80" w:rsidRDefault="00E06E80"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402" w:type="dxa"/>
            <w:tcBorders>
              <w:left w:val="single" w:sz="2" w:space="0" w:color="A81C26"/>
              <w:right w:val="single" w:sz="2" w:space="0" w:color="A81C26"/>
            </w:tcBorders>
            <w:shd w:val="clear" w:color="auto" w:fill="auto"/>
          </w:tcPr>
          <w:p w14:paraId="1AD43BBD" w14:textId="1729A6F1"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88" w:type="dxa"/>
            <w:tcBorders>
              <w:left w:val="single" w:sz="2" w:space="0" w:color="A81C26"/>
            </w:tcBorders>
            <w:shd w:val="clear" w:color="auto" w:fill="auto"/>
          </w:tcPr>
          <w:p w14:paraId="5B047090" w14:textId="30A01465" w:rsidR="00E06E80" w:rsidRDefault="00E06E80"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640253D3" w14:textId="648249F8" w:rsidR="006B50CD" w:rsidRDefault="006B50CD" w:rsidP="003B2902">
      <w:pPr>
        <w:pStyle w:val="Heading1"/>
      </w:pPr>
      <w:bookmarkStart w:id="48" w:name="_Toc413756000"/>
      <w:bookmarkStart w:id="49" w:name="_Toc141257463"/>
      <w:bookmarkStart w:id="50" w:name="_Toc198115845"/>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E06E80" w:rsidRPr="000A23DA" w14:paraId="74DFB759" w14:textId="77777777" w:rsidTr="00C26291">
        <w:trPr>
          <w:cantSplit/>
        </w:trPr>
        <w:tc>
          <w:tcPr>
            <w:tcW w:w="2393" w:type="dxa"/>
            <w:tcBorders>
              <w:right w:val="single" w:sz="2" w:space="0" w:color="A81C26"/>
            </w:tcBorders>
            <w:shd w:val="clear" w:color="auto" w:fill="auto"/>
          </w:tcPr>
          <w:p w14:paraId="7E46EB88" w14:textId="6422B6E3" w:rsidR="00E06E80" w:rsidRDefault="00E06E80"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44" w:type="dxa"/>
            <w:tcBorders>
              <w:left w:val="single" w:sz="2" w:space="0" w:color="A81C26"/>
              <w:right w:val="single" w:sz="2" w:space="0" w:color="A81C26"/>
            </w:tcBorders>
            <w:shd w:val="clear" w:color="auto" w:fill="auto"/>
          </w:tcPr>
          <w:p w14:paraId="01C6B2D3" w14:textId="2B29DB74"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3728" w:type="dxa"/>
            <w:tcBorders>
              <w:left w:val="single" w:sz="2" w:space="0" w:color="A81C26"/>
            </w:tcBorders>
            <w:shd w:val="clear" w:color="auto" w:fill="auto"/>
          </w:tcPr>
          <w:p w14:paraId="3EC70A37" w14:textId="64658E58" w:rsidR="00E06E80" w:rsidRDefault="00E06E80"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3DC9F6CD" w14:textId="77777777" w:rsidR="006B50CD" w:rsidRPr="00A52709" w:rsidRDefault="006B50CD" w:rsidP="003B2902">
      <w:pPr>
        <w:pStyle w:val="Heading1"/>
      </w:pPr>
      <w:bookmarkStart w:id="51" w:name="_Toc413756001"/>
      <w:bookmarkStart w:id="52" w:name="_Toc141257464"/>
      <w:bookmarkStart w:id="53" w:name="_Toc198115846"/>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A7D47" w:rsidRPr="00DD4A52" w14:paraId="1D7C06C2" w14:textId="77777777" w:rsidTr="003E3FE8">
        <w:trPr>
          <w:trHeight w:val="744"/>
          <w:tblHeader/>
        </w:trPr>
        <w:tc>
          <w:tcPr>
            <w:tcW w:w="885" w:type="dxa"/>
            <w:shd w:val="clear" w:color="auto" w:fill="auto"/>
            <w:vAlign w:val="center"/>
          </w:tcPr>
          <w:p w14:paraId="47A2BEEF" w14:textId="77777777" w:rsidR="009A7D47" w:rsidRPr="00725DC6" w:rsidRDefault="009A7D47" w:rsidP="009A7D4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A7D47" w:rsidRPr="00725DC6" w:rsidRDefault="009A7D47" w:rsidP="009A7D47">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vAlign w:val="center"/>
          </w:tcPr>
          <w:p w14:paraId="6490DF1D" w14:textId="7CBE6845" w:rsidR="009A7D47" w:rsidRPr="002D38D4" w:rsidRDefault="009A7D47" w:rsidP="003E3FE8">
            <w:pPr>
              <w:spacing w:before="60" w:line="240" w:lineRule="auto"/>
              <w:rPr>
                <w:rFonts w:ascii="Source Sans Pro" w:eastAsia="MS Mincho" w:hAnsi="Source Sans Pro" w:cs="Times New Roman"/>
                <w:color w:val="A21C26"/>
                <w:sz w:val="20"/>
                <w:szCs w:val="20"/>
              </w:rPr>
            </w:pPr>
            <w:r>
              <w:rPr>
                <w:rFonts w:ascii="Source Sans Pro" w:eastAsia="MS Mincho" w:hAnsi="Source Sans Pro" w:cs="Times New Roman"/>
                <w:color w:val="A81C26"/>
                <w:sz w:val="20"/>
                <w:szCs w:val="20"/>
              </w:rPr>
              <w:t>1/1/2025</w:t>
            </w:r>
          </w:p>
        </w:tc>
        <w:tc>
          <w:tcPr>
            <w:tcW w:w="1059" w:type="dxa"/>
          </w:tcPr>
          <w:p w14:paraId="24CC4D81" w14:textId="77777777" w:rsidR="009A7D47" w:rsidRPr="002D38D4"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A7D47" w:rsidRDefault="009A7D47" w:rsidP="009A7D47">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A7D47" w:rsidRDefault="009A7D47" w:rsidP="009A7D47">
            <w:pPr>
              <w:spacing w:before="60" w:line="240" w:lineRule="auto"/>
              <w:ind w:left="-671" w:firstLine="671"/>
              <w:jc w:val="right"/>
              <w:rPr>
                <w:rFonts w:ascii="Source Sans Pro" w:eastAsia="MS Mincho" w:hAnsi="Source Sans Pro" w:cs="Times New Roman"/>
                <w:color w:val="A21C26"/>
                <w:sz w:val="20"/>
                <w:szCs w:val="20"/>
              </w:rPr>
            </w:pPr>
          </w:p>
        </w:tc>
      </w:tr>
      <w:tr w:rsidR="009A7D47" w:rsidRPr="00D35734" w14:paraId="33E2FBFF" w14:textId="77777777" w:rsidTr="00B138D4">
        <w:trPr>
          <w:trHeight w:val="255"/>
        </w:trPr>
        <w:tc>
          <w:tcPr>
            <w:tcW w:w="885" w:type="dxa"/>
            <w:shd w:val="clear" w:color="auto" w:fill="auto"/>
            <w:vAlign w:val="bottom"/>
          </w:tcPr>
          <w:p w14:paraId="3A1BF05B" w14:textId="77777777" w:rsidR="009A7D47" w:rsidRPr="00D35734" w:rsidRDefault="009A7D47" w:rsidP="009A7D4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0AC642D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6AA54330"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610F726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8A413A9" w14:textId="77777777" w:rsidR="009A7D47" w:rsidRPr="00530A1F" w:rsidRDefault="009A7D47" w:rsidP="009A7D47">
            <w:pPr>
              <w:spacing w:before="40" w:after="40" w:line="240" w:lineRule="auto"/>
              <w:jc w:val="right"/>
              <w:rPr>
                <w:sz w:val="20"/>
                <w:szCs w:val="20"/>
              </w:rPr>
            </w:pPr>
          </w:p>
        </w:tc>
        <w:tc>
          <w:tcPr>
            <w:tcW w:w="1059" w:type="dxa"/>
          </w:tcPr>
          <w:p w14:paraId="3993101D" w14:textId="77777777" w:rsidR="009A7D47" w:rsidRDefault="009A7D47" w:rsidP="009A7D47">
            <w:pPr>
              <w:spacing w:before="40" w:after="40" w:line="240" w:lineRule="auto"/>
              <w:jc w:val="right"/>
              <w:rPr>
                <w:sz w:val="20"/>
                <w:szCs w:val="20"/>
              </w:rPr>
            </w:pPr>
          </w:p>
        </w:tc>
        <w:tc>
          <w:tcPr>
            <w:tcW w:w="1059" w:type="dxa"/>
          </w:tcPr>
          <w:p w14:paraId="59DDFA95" w14:textId="77777777" w:rsidR="009A7D47" w:rsidRDefault="009A7D47" w:rsidP="009A7D47">
            <w:pPr>
              <w:spacing w:before="40" w:after="40" w:line="240" w:lineRule="auto"/>
              <w:ind w:left="-671" w:firstLine="671"/>
              <w:jc w:val="right"/>
              <w:rPr>
                <w:sz w:val="20"/>
                <w:szCs w:val="20"/>
              </w:rPr>
            </w:pPr>
          </w:p>
        </w:tc>
      </w:tr>
      <w:tr w:rsidR="009A7D47" w:rsidRPr="00D35734" w14:paraId="4355423B" w14:textId="77777777" w:rsidTr="00B138D4">
        <w:trPr>
          <w:trHeight w:val="255"/>
        </w:trPr>
        <w:tc>
          <w:tcPr>
            <w:tcW w:w="885" w:type="dxa"/>
            <w:shd w:val="clear" w:color="auto" w:fill="auto"/>
            <w:vAlign w:val="bottom"/>
          </w:tcPr>
          <w:p w14:paraId="25EA45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667B18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FE1338F"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D83BF4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24DE7D3" w14:textId="77777777" w:rsidR="009A7D47" w:rsidRPr="00530A1F" w:rsidRDefault="009A7D47" w:rsidP="009A7D47">
            <w:pPr>
              <w:spacing w:before="40" w:after="40" w:line="240" w:lineRule="auto"/>
              <w:jc w:val="right"/>
              <w:rPr>
                <w:sz w:val="20"/>
                <w:szCs w:val="20"/>
              </w:rPr>
            </w:pPr>
          </w:p>
        </w:tc>
        <w:tc>
          <w:tcPr>
            <w:tcW w:w="1059" w:type="dxa"/>
          </w:tcPr>
          <w:p w14:paraId="11C36C1C" w14:textId="77777777" w:rsidR="009A7D47" w:rsidRDefault="009A7D47" w:rsidP="009A7D47">
            <w:pPr>
              <w:spacing w:before="40" w:after="40" w:line="240" w:lineRule="auto"/>
              <w:jc w:val="right"/>
              <w:rPr>
                <w:sz w:val="20"/>
                <w:szCs w:val="20"/>
              </w:rPr>
            </w:pPr>
          </w:p>
        </w:tc>
        <w:tc>
          <w:tcPr>
            <w:tcW w:w="1059" w:type="dxa"/>
          </w:tcPr>
          <w:p w14:paraId="11173B93" w14:textId="77777777" w:rsidR="009A7D47" w:rsidRDefault="009A7D47" w:rsidP="009A7D47">
            <w:pPr>
              <w:spacing w:before="40" w:after="40" w:line="240" w:lineRule="auto"/>
              <w:ind w:left="-671" w:firstLine="671"/>
              <w:jc w:val="right"/>
              <w:rPr>
                <w:sz w:val="20"/>
                <w:szCs w:val="20"/>
              </w:rPr>
            </w:pPr>
          </w:p>
        </w:tc>
      </w:tr>
      <w:tr w:rsidR="009A7D47" w:rsidRPr="00D35734" w14:paraId="4A1A0A1E" w14:textId="77777777" w:rsidTr="00B138D4">
        <w:trPr>
          <w:trHeight w:val="255"/>
        </w:trPr>
        <w:tc>
          <w:tcPr>
            <w:tcW w:w="885" w:type="dxa"/>
            <w:shd w:val="clear" w:color="auto" w:fill="auto"/>
            <w:vAlign w:val="bottom"/>
          </w:tcPr>
          <w:p w14:paraId="38DAA46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269637B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FB5E6E6" w14:textId="77777777" w:rsidR="009A7D47" w:rsidRPr="005C476B" w:rsidRDefault="009A7D47" w:rsidP="009A7D47">
            <w:pPr>
              <w:spacing w:before="40" w:after="40" w:line="240" w:lineRule="auto"/>
              <w:jc w:val="right"/>
              <w:rPr>
                <w:rFonts w:eastAsia="MS Mincho" w:cs="Arial"/>
                <w:sz w:val="20"/>
                <w:szCs w:val="20"/>
              </w:rPr>
            </w:pPr>
          </w:p>
        </w:tc>
        <w:tc>
          <w:tcPr>
            <w:tcW w:w="1059" w:type="dxa"/>
          </w:tcPr>
          <w:p w14:paraId="4067E16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C3F93DE" w14:textId="77777777" w:rsidR="009A7D47" w:rsidRPr="00530A1F" w:rsidRDefault="009A7D47" w:rsidP="009A7D47">
            <w:pPr>
              <w:spacing w:before="40" w:after="40" w:line="240" w:lineRule="auto"/>
              <w:jc w:val="right"/>
              <w:rPr>
                <w:sz w:val="20"/>
                <w:szCs w:val="20"/>
              </w:rPr>
            </w:pPr>
          </w:p>
        </w:tc>
        <w:tc>
          <w:tcPr>
            <w:tcW w:w="1059" w:type="dxa"/>
          </w:tcPr>
          <w:p w14:paraId="5E18AF39" w14:textId="77777777" w:rsidR="009A7D47" w:rsidRDefault="009A7D47" w:rsidP="009A7D47">
            <w:pPr>
              <w:spacing w:before="40" w:after="40" w:line="240" w:lineRule="auto"/>
              <w:jc w:val="right"/>
              <w:rPr>
                <w:sz w:val="20"/>
                <w:szCs w:val="20"/>
              </w:rPr>
            </w:pPr>
          </w:p>
        </w:tc>
        <w:tc>
          <w:tcPr>
            <w:tcW w:w="1059" w:type="dxa"/>
          </w:tcPr>
          <w:p w14:paraId="7406F60B" w14:textId="77777777" w:rsidR="009A7D47" w:rsidRDefault="009A7D47" w:rsidP="009A7D47">
            <w:pPr>
              <w:spacing w:before="40" w:after="40" w:line="240" w:lineRule="auto"/>
              <w:ind w:left="-671" w:firstLine="671"/>
              <w:jc w:val="right"/>
              <w:rPr>
                <w:sz w:val="20"/>
                <w:szCs w:val="20"/>
              </w:rPr>
            </w:pPr>
          </w:p>
        </w:tc>
      </w:tr>
      <w:tr w:rsidR="009A7D47" w:rsidRPr="00D35734" w14:paraId="47237D31" w14:textId="77777777" w:rsidTr="00B138D4">
        <w:trPr>
          <w:trHeight w:val="255"/>
        </w:trPr>
        <w:tc>
          <w:tcPr>
            <w:tcW w:w="885" w:type="dxa"/>
            <w:shd w:val="clear" w:color="auto" w:fill="auto"/>
            <w:vAlign w:val="bottom"/>
          </w:tcPr>
          <w:p w14:paraId="6403002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505F511B"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4501A09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79B33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9DE1FD2" w14:textId="77777777" w:rsidR="009A7D47" w:rsidRPr="00530A1F" w:rsidRDefault="009A7D47" w:rsidP="009A7D47">
            <w:pPr>
              <w:spacing w:before="40" w:after="40" w:line="240" w:lineRule="auto"/>
              <w:jc w:val="right"/>
              <w:rPr>
                <w:sz w:val="20"/>
                <w:szCs w:val="20"/>
              </w:rPr>
            </w:pPr>
          </w:p>
        </w:tc>
        <w:tc>
          <w:tcPr>
            <w:tcW w:w="1059" w:type="dxa"/>
          </w:tcPr>
          <w:p w14:paraId="3977B460" w14:textId="77777777" w:rsidR="009A7D47" w:rsidRDefault="009A7D47" w:rsidP="009A7D47">
            <w:pPr>
              <w:spacing w:before="40" w:after="40" w:line="240" w:lineRule="auto"/>
              <w:jc w:val="right"/>
              <w:rPr>
                <w:sz w:val="20"/>
                <w:szCs w:val="20"/>
              </w:rPr>
            </w:pPr>
          </w:p>
        </w:tc>
        <w:tc>
          <w:tcPr>
            <w:tcW w:w="1059" w:type="dxa"/>
          </w:tcPr>
          <w:p w14:paraId="404F8EBB" w14:textId="77777777" w:rsidR="009A7D47" w:rsidRDefault="009A7D47" w:rsidP="009A7D47">
            <w:pPr>
              <w:spacing w:before="40" w:after="40" w:line="240" w:lineRule="auto"/>
              <w:ind w:left="-671" w:firstLine="671"/>
              <w:jc w:val="right"/>
              <w:rPr>
                <w:sz w:val="20"/>
                <w:szCs w:val="20"/>
              </w:rPr>
            </w:pPr>
          </w:p>
        </w:tc>
      </w:tr>
      <w:tr w:rsidR="009A7D47" w:rsidRPr="00D35734" w14:paraId="41AB60B2" w14:textId="77777777" w:rsidTr="00B138D4">
        <w:trPr>
          <w:trHeight w:val="255"/>
        </w:trPr>
        <w:tc>
          <w:tcPr>
            <w:tcW w:w="885" w:type="dxa"/>
            <w:shd w:val="clear" w:color="auto" w:fill="auto"/>
            <w:vAlign w:val="bottom"/>
          </w:tcPr>
          <w:p w14:paraId="378691C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A7D47" w:rsidRPr="00D35734" w:rsidRDefault="009A7D47" w:rsidP="009A7D47">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4166E1D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5CD450D"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EDEB7DF"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140D009" w14:textId="77777777" w:rsidR="009A7D47" w:rsidRPr="00530A1F" w:rsidRDefault="009A7D47" w:rsidP="009A7D47">
            <w:pPr>
              <w:spacing w:before="40" w:after="40" w:line="240" w:lineRule="auto"/>
              <w:jc w:val="right"/>
              <w:rPr>
                <w:sz w:val="20"/>
                <w:szCs w:val="20"/>
              </w:rPr>
            </w:pPr>
          </w:p>
        </w:tc>
        <w:tc>
          <w:tcPr>
            <w:tcW w:w="1059" w:type="dxa"/>
          </w:tcPr>
          <w:p w14:paraId="6E79C401" w14:textId="77777777" w:rsidR="009A7D47" w:rsidRDefault="009A7D47" w:rsidP="009A7D47">
            <w:pPr>
              <w:spacing w:before="40" w:after="40" w:line="240" w:lineRule="auto"/>
              <w:jc w:val="right"/>
              <w:rPr>
                <w:sz w:val="20"/>
                <w:szCs w:val="20"/>
              </w:rPr>
            </w:pPr>
          </w:p>
        </w:tc>
        <w:tc>
          <w:tcPr>
            <w:tcW w:w="1059" w:type="dxa"/>
          </w:tcPr>
          <w:p w14:paraId="5061594B" w14:textId="77777777" w:rsidR="009A7D47" w:rsidRDefault="009A7D47" w:rsidP="009A7D47">
            <w:pPr>
              <w:spacing w:before="40" w:after="40" w:line="240" w:lineRule="auto"/>
              <w:ind w:left="-671" w:firstLine="671"/>
              <w:jc w:val="right"/>
              <w:rPr>
                <w:sz w:val="20"/>
                <w:szCs w:val="20"/>
              </w:rPr>
            </w:pPr>
          </w:p>
        </w:tc>
      </w:tr>
      <w:tr w:rsidR="009A7D47" w:rsidRPr="00D35734" w14:paraId="241EA8EE" w14:textId="77777777" w:rsidTr="00B138D4">
        <w:trPr>
          <w:trHeight w:val="255"/>
        </w:trPr>
        <w:tc>
          <w:tcPr>
            <w:tcW w:w="885" w:type="dxa"/>
            <w:shd w:val="clear" w:color="auto" w:fill="auto"/>
            <w:vAlign w:val="bottom"/>
          </w:tcPr>
          <w:p w14:paraId="66A96D5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096643A4" w:rsidR="009A7D47" w:rsidRDefault="009A7D47" w:rsidP="009A7D47">
            <w:pPr>
              <w:spacing w:before="40" w:after="40" w:line="240" w:lineRule="auto"/>
              <w:jc w:val="right"/>
              <w:rPr>
                <w:rFonts w:eastAsia="MS Mincho" w:cs="Arial"/>
                <w:sz w:val="20"/>
                <w:szCs w:val="20"/>
              </w:rPr>
            </w:pPr>
            <w:r>
              <w:rPr>
                <w:rFonts w:eastAsia="MS Mincho" w:cs="Arial"/>
                <w:sz w:val="20"/>
                <w:szCs w:val="20"/>
              </w:rPr>
              <w:t>$6,780</w:t>
            </w:r>
          </w:p>
        </w:tc>
        <w:tc>
          <w:tcPr>
            <w:tcW w:w="1059" w:type="dxa"/>
            <w:vAlign w:val="bottom"/>
          </w:tcPr>
          <w:p w14:paraId="1CAB739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87E5EE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30C28E7" w14:textId="77777777" w:rsidR="009A7D47" w:rsidRPr="00530A1F" w:rsidRDefault="009A7D47" w:rsidP="009A7D47">
            <w:pPr>
              <w:spacing w:before="40" w:after="40" w:line="240" w:lineRule="auto"/>
              <w:jc w:val="right"/>
              <w:rPr>
                <w:sz w:val="20"/>
                <w:szCs w:val="20"/>
              </w:rPr>
            </w:pPr>
          </w:p>
        </w:tc>
        <w:tc>
          <w:tcPr>
            <w:tcW w:w="1059" w:type="dxa"/>
          </w:tcPr>
          <w:p w14:paraId="2489DCFE" w14:textId="77777777" w:rsidR="009A7D47" w:rsidRDefault="009A7D47" w:rsidP="009A7D47">
            <w:pPr>
              <w:spacing w:before="40" w:after="40" w:line="240" w:lineRule="auto"/>
              <w:jc w:val="right"/>
              <w:rPr>
                <w:sz w:val="20"/>
                <w:szCs w:val="20"/>
              </w:rPr>
            </w:pPr>
          </w:p>
        </w:tc>
        <w:tc>
          <w:tcPr>
            <w:tcW w:w="1059" w:type="dxa"/>
          </w:tcPr>
          <w:p w14:paraId="57EFC328" w14:textId="77777777" w:rsidR="009A7D47" w:rsidRDefault="009A7D47" w:rsidP="009A7D47">
            <w:pPr>
              <w:spacing w:before="40" w:after="40" w:line="240" w:lineRule="auto"/>
              <w:ind w:left="-671" w:firstLine="671"/>
              <w:jc w:val="right"/>
              <w:rPr>
                <w:sz w:val="20"/>
                <w:szCs w:val="20"/>
              </w:rPr>
            </w:pPr>
          </w:p>
        </w:tc>
      </w:tr>
      <w:tr w:rsidR="009A7D47" w:rsidRPr="00D35734" w14:paraId="70F67BF5" w14:textId="77777777" w:rsidTr="00B138D4">
        <w:trPr>
          <w:trHeight w:val="255"/>
        </w:trPr>
        <w:tc>
          <w:tcPr>
            <w:tcW w:w="885" w:type="dxa"/>
            <w:shd w:val="clear" w:color="auto" w:fill="auto"/>
            <w:vAlign w:val="bottom"/>
          </w:tcPr>
          <w:p w14:paraId="47436C4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1DFA59E8" w:rsidR="009A7D47" w:rsidRDefault="009A7D47" w:rsidP="009A7D47">
            <w:pPr>
              <w:spacing w:before="40" w:after="40" w:line="240" w:lineRule="auto"/>
              <w:jc w:val="right"/>
              <w:rPr>
                <w:rFonts w:eastAsia="MS Mincho" w:cs="Arial"/>
                <w:sz w:val="20"/>
                <w:szCs w:val="20"/>
              </w:rPr>
            </w:pPr>
            <w:r>
              <w:rPr>
                <w:rFonts w:eastAsia="MS Mincho" w:cs="Arial"/>
                <w:sz w:val="20"/>
                <w:szCs w:val="20"/>
              </w:rPr>
              <w:t>$10,556</w:t>
            </w:r>
          </w:p>
        </w:tc>
        <w:tc>
          <w:tcPr>
            <w:tcW w:w="1059" w:type="dxa"/>
            <w:vAlign w:val="bottom"/>
          </w:tcPr>
          <w:p w14:paraId="55C5A57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9977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FE41315" w14:textId="77777777" w:rsidR="009A7D47" w:rsidRPr="00530A1F" w:rsidRDefault="009A7D47" w:rsidP="009A7D47">
            <w:pPr>
              <w:spacing w:before="40" w:after="40" w:line="240" w:lineRule="auto"/>
              <w:jc w:val="right"/>
              <w:rPr>
                <w:sz w:val="20"/>
                <w:szCs w:val="20"/>
              </w:rPr>
            </w:pPr>
          </w:p>
        </w:tc>
        <w:tc>
          <w:tcPr>
            <w:tcW w:w="1059" w:type="dxa"/>
          </w:tcPr>
          <w:p w14:paraId="4BBCF394" w14:textId="77777777" w:rsidR="009A7D47" w:rsidRDefault="009A7D47" w:rsidP="009A7D47">
            <w:pPr>
              <w:spacing w:before="40" w:after="40" w:line="240" w:lineRule="auto"/>
              <w:jc w:val="right"/>
              <w:rPr>
                <w:sz w:val="20"/>
                <w:szCs w:val="20"/>
              </w:rPr>
            </w:pPr>
          </w:p>
        </w:tc>
        <w:tc>
          <w:tcPr>
            <w:tcW w:w="1059" w:type="dxa"/>
          </w:tcPr>
          <w:p w14:paraId="2AD964A3" w14:textId="77777777" w:rsidR="009A7D47" w:rsidRDefault="009A7D47" w:rsidP="009A7D47">
            <w:pPr>
              <w:spacing w:before="40" w:after="40" w:line="240" w:lineRule="auto"/>
              <w:ind w:left="-671" w:firstLine="671"/>
              <w:jc w:val="right"/>
              <w:rPr>
                <w:sz w:val="20"/>
                <w:szCs w:val="20"/>
              </w:rPr>
            </w:pPr>
          </w:p>
        </w:tc>
      </w:tr>
      <w:tr w:rsidR="009A7D47" w:rsidRPr="00D35734" w14:paraId="6566C9D3" w14:textId="77777777" w:rsidTr="00B138D4">
        <w:trPr>
          <w:trHeight w:val="255"/>
        </w:trPr>
        <w:tc>
          <w:tcPr>
            <w:tcW w:w="885" w:type="dxa"/>
            <w:shd w:val="clear" w:color="auto" w:fill="auto"/>
            <w:vAlign w:val="bottom"/>
          </w:tcPr>
          <w:p w14:paraId="3AFE4F6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2684225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$16,307</w:t>
            </w:r>
          </w:p>
        </w:tc>
        <w:tc>
          <w:tcPr>
            <w:tcW w:w="1059" w:type="dxa"/>
            <w:vAlign w:val="bottom"/>
          </w:tcPr>
          <w:p w14:paraId="2291A2F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826E3E2"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7012760" w14:textId="77777777" w:rsidR="009A7D47" w:rsidRPr="00530A1F" w:rsidRDefault="009A7D47" w:rsidP="009A7D47">
            <w:pPr>
              <w:spacing w:before="40" w:after="40" w:line="240" w:lineRule="auto"/>
              <w:jc w:val="right"/>
              <w:rPr>
                <w:sz w:val="20"/>
                <w:szCs w:val="20"/>
              </w:rPr>
            </w:pPr>
          </w:p>
        </w:tc>
        <w:tc>
          <w:tcPr>
            <w:tcW w:w="1059" w:type="dxa"/>
          </w:tcPr>
          <w:p w14:paraId="22505249" w14:textId="77777777" w:rsidR="009A7D47" w:rsidRDefault="009A7D47" w:rsidP="009A7D47">
            <w:pPr>
              <w:spacing w:before="40" w:after="40" w:line="240" w:lineRule="auto"/>
              <w:jc w:val="right"/>
              <w:rPr>
                <w:sz w:val="20"/>
                <w:szCs w:val="20"/>
              </w:rPr>
            </w:pPr>
          </w:p>
        </w:tc>
        <w:tc>
          <w:tcPr>
            <w:tcW w:w="1059" w:type="dxa"/>
          </w:tcPr>
          <w:p w14:paraId="7E718E23" w14:textId="77777777" w:rsidR="009A7D47" w:rsidRDefault="009A7D47" w:rsidP="009A7D47">
            <w:pPr>
              <w:spacing w:before="40" w:after="40" w:line="240" w:lineRule="auto"/>
              <w:ind w:left="-671" w:firstLine="671"/>
              <w:jc w:val="right"/>
              <w:rPr>
                <w:sz w:val="20"/>
                <w:szCs w:val="20"/>
              </w:rPr>
            </w:pPr>
          </w:p>
        </w:tc>
      </w:tr>
      <w:tr w:rsidR="009A7D47" w:rsidRPr="00D35734" w14:paraId="72A007C9" w14:textId="77777777" w:rsidTr="00B138D4">
        <w:trPr>
          <w:trHeight w:val="255"/>
        </w:trPr>
        <w:tc>
          <w:tcPr>
            <w:tcW w:w="885" w:type="dxa"/>
            <w:shd w:val="clear" w:color="auto" w:fill="auto"/>
            <w:vAlign w:val="bottom"/>
          </w:tcPr>
          <w:p w14:paraId="3359A042"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53CF3308"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$27,519</w:t>
            </w:r>
          </w:p>
        </w:tc>
        <w:tc>
          <w:tcPr>
            <w:tcW w:w="1059" w:type="dxa"/>
            <w:vAlign w:val="bottom"/>
          </w:tcPr>
          <w:p w14:paraId="5027CFC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25AEF3E"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598F139" w14:textId="77777777" w:rsidR="009A7D47" w:rsidRPr="00530A1F" w:rsidRDefault="009A7D47" w:rsidP="009A7D47">
            <w:pPr>
              <w:spacing w:before="40" w:after="40" w:line="240" w:lineRule="auto"/>
              <w:jc w:val="right"/>
              <w:rPr>
                <w:sz w:val="20"/>
                <w:szCs w:val="20"/>
              </w:rPr>
            </w:pPr>
          </w:p>
        </w:tc>
        <w:tc>
          <w:tcPr>
            <w:tcW w:w="1059" w:type="dxa"/>
          </w:tcPr>
          <w:p w14:paraId="276AC710" w14:textId="77777777" w:rsidR="009A7D47" w:rsidRDefault="009A7D47" w:rsidP="009A7D47">
            <w:pPr>
              <w:spacing w:before="40" w:after="40" w:line="240" w:lineRule="auto"/>
              <w:jc w:val="right"/>
              <w:rPr>
                <w:sz w:val="20"/>
                <w:szCs w:val="20"/>
              </w:rPr>
            </w:pPr>
          </w:p>
        </w:tc>
        <w:tc>
          <w:tcPr>
            <w:tcW w:w="1059" w:type="dxa"/>
          </w:tcPr>
          <w:p w14:paraId="466382DC" w14:textId="77777777" w:rsidR="009A7D47" w:rsidRDefault="009A7D47" w:rsidP="009A7D47">
            <w:pPr>
              <w:spacing w:before="40" w:after="40" w:line="240" w:lineRule="auto"/>
              <w:ind w:left="-671" w:firstLine="671"/>
              <w:jc w:val="right"/>
              <w:rPr>
                <w:sz w:val="20"/>
                <w:szCs w:val="20"/>
              </w:rPr>
            </w:pPr>
          </w:p>
        </w:tc>
      </w:tr>
      <w:tr w:rsidR="009A7D47" w:rsidRPr="00D35734" w14:paraId="7688ACD0" w14:textId="77777777" w:rsidTr="00B138D4">
        <w:trPr>
          <w:trHeight w:val="255"/>
        </w:trPr>
        <w:tc>
          <w:tcPr>
            <w:tcW w:w="885" w:type="dxa"/>
            <w:shd w:val="clear" w:color="auto" w:fill="auto"/>
            <w:vAlign w:val="bottom"/>
          </w:tcPr>
          <w:p w14:paraId="0057B05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306917B"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$40,766</w:t>
            </w:r>
          </w:p>
        </w:tc>
        <w:tc>
          <w:tcPr>
            <w:tcW w:w="1059" w:type="dxa"/>
            <w:vAlign w:val="bottom"/>
          </w:tcPr>
          <w:p w14:paraId="0DFC69D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77618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895EE50" w14:textId="77777777" w:rsidR="009A7D47" w:rsidRPr="00530A1F" w:rsidRDefault="009A7D47" w:rsidP="009A7D47">
            <w:pPr>
              <w:spacing w:before="40" w:after="40" w:line="240" w:lineRule="auto"/>
              <w:jc w:val="right"/>
              <w:rPr>
                <w:sz w:val="20"/>
                <w:szCs w:val="20"/>
              </w:rPr>
            </w:pPr>
          </w:p>
        </w:tc>
        <w:tc>
          <w:tcPr>
            <w:tcW w:w="1059" w:type="dxa"/>
          </w:tcPr>
          <w:p w14:paraId="2AE465C8" w14:textId="77777777" w:rsidR="009A7D47" w:rsidRDefault="009A7D47" w:rsidP="009A7D47">
            <w:pPr>
              <w:spacing w:before="40" w:after="40" w:line="240" w:lineRule="auto"/>
              <w:jc w:val="right"/>
              <w:rPr>
                <w:sz w:val="20"/>
                <w:szCs w:val="20"/>
              </w:rPr>
            </w:pPr>
          </w:p>
        </w:tc>
        <w:tc>
          <w:tcPr>
            <w:tcW w:w="1059" w:type="dxa"/>
          </w:tcPr>
          <w:p w14:paraId="172160BB" w14:textId="77777777" w:rsidR="009A7D47" w:rsidRDefault="009A7D47" w:rsidP="009A7D47">
            <w:pPr>
              <w:spacing w:before="40" w:after="40" w:line="240" w:lineRule="auto"/>
              <w:ind w:left="-671" w:firstLine="671"/>
              <w:jc w:val="right"/>
              <w:rPr>
                <w:sz w:val="20"/>
                <w:szCs w:val="20"/>
              </w:rPr>
            </w:pPr>
          </w:p>
        </w:tc>
      </w:tr>
      <w:tr w:rsidR="009A7D47" w:rsidRPr="00D35734" w14:paraId="56008137" w14:textId="77777777" w:rsidTr="00B138D4">
        <w:trPr>
          <w:trHeight w:val="255"/>
        </w:trPr>
        <w:tc>
          <w:tcPr>
            <w:tcW w:w="885" w:type="dxa"/>
            <w:shd w:val="clear" w:color="auto" w:fill="auto"/>
            <w:vAlign w:val="bottom"/>
          </w:tcPr>
          <w:p w14:paraId="745AA15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2616540D"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$56,053</w:t>
            </w:r>
          </w:p>
        </w:tc>
        <w:tc>
          <w:tcPr>
            <w:tcW w:w="1059" w:type="dxa"/>
            <w:vAlign w:val="bottom"/>
          </w:tcPr>
          <w:p w14:paraId="09E1821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47E314"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FDF3760" w14:textId="77777777" w:rsidR="009A7D47" w:rsidRPr="00530A1F" w:rsidRDefault="009A7D47" w:rsidP="009A7D47">
            <w:pPr>
              <w:spacing w:before="40" w:after="40" w:line="240" w:lineRule="auto"/>
              <w:jc w:val="right"/>
              <w:rPr>
                <w:sz w:val="20"/>
                <w:szCs w:val="20"/>
              </w:rPr>
            </w:pPr>
          </w:p>
        </w:tc>
        <w:tc>
          <w:tcPr>
            <w:tcW w:w="1059" w:type="dxa"/>
          </w:tcPr>
          <w:p w14:paraId="315C5829" w14:textId="77777777" w:rsidR="009A7D47" w:rsidRDefault="009A7D47" w:rsidP="009A7D47">
            <w:pPr>
              <w:spacing w:before="40" w:after="40" w:line="240" w:lineRule="auto"/>
              <w:jc w:val="right"/>
              <w:rPr>
                <w:sz w:val="20"/>
                <w:szCs w:val="20"/>
              </w:rPr>
            </w:pPr>
          </w:p>
        </w:tc>
        <w:tc>
          <w:tcPr>
            <w:tcW w:w="1059" w:type="dxa"/>
          </w:tcPr>
          <w:p w14:paraId="3EAEE128" w14:textId="77777777" w:rsidR="009A7D47" w:rsidRDefault="009A7D47" w:rsidP="009A7D47">
            <w:pPr>
              <w:spacing w:before="40" w:after="40" w:line="240" w:lineRule="auto"/>
              <w:ind w:left="-671" w:firstLine="671"/>
              <w:jc w:val="right"/>
              <w:rPr>
                <w:sz w:val="20"/>
                <w:szCs w:val="20"/>
              </w:rPr>
            </w:pPr>
          </w:p>
        </w:tc>
      </w:tr>
      <w:tr w:rsidR="009A7D47" w:rsidRPr="00D35734" w14:paraId="191D3527" w14:textId="77777777" w:rsidTr="00B138D4">
        <w:trPr>
          <w:trHeight w:val="255"/>
        </w:trPr>
        <w:tc>
          <w:tcPr>
            <w:tcW w:w="885" w:type="dxa"/>
            <w:shd w:val="clear" w:color="auto" w:fill="auto"/>
            <w:vAlign w:val="bottom"/>
          </w:tcPr>
          <w:p w14:paraId="6C69F1F8"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$63,618</w:t>
            </w:r>
          </w:p>
        </w:tc>
        <w:tc>
          <w:tcPr>
            <w:tcW w:w="1059" w:type="dxa"/>
          </w:tcPr>
          <w:p w14:paraId="5F452BFF" w14:textId="42F42B39" w:rsidR="009A7D47" w:rsidRDefault="009A7D47" w:rsidP="009A7D47">
            <w:pPr>
              <w:spacing w:before="40" w:after="40" w:line="240" w:lineRule="auto"/>
              <w:jc w:val="right"/>
              <w:rPr>
                <w:rFonts w:eastAsia="MS Mincho" w:cs="Arial"/>
                <w:sz w:val="20"/>
                <w:szCs w:val="20"/>
              </w:rPr>
            </w:pPr>
            <w:r>
              <w:rPr>
                <w:rFonts w:eastAsia="MS Mincho" w:cs="Arial"/>
                <w:sz w:val="20"/>
                <w:szCs w:val="20"/>
              </w:rPr>
              <w:t>$65,673</w:t>
            </w:r>
          </w:p>
        </w:tc>
        <w:tc>
          <w:tcPr>
            <w:tcW w:w="1059" w:type="dxa"/>
            <w:vAlign w:val="bottom"/>
          </w:tcPr>
          <w:p w14:paraId="7BB5B41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4CBE4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D1C0AE3" w14:textId="77777777" w:rsidR="009A7D47" w:rsidRPr="00530A1F" w:rsidRDefault="009A7D47" w:rsidP="009A7D47">
            <w:pPr>
              <w:spacing w:before="40" w:after="40" w:line="240" w:lineRule="auto"/>
              <w:jc w:val="right"/>
              <w:rPr>
                <w:sz w:val="20"/>
                <w:szCs w:val="20"/>
              </w:rPr>
            </w:pPr>
          </w:p>
        </w:tc>
        <w:tc>
          <w:tcPr>
            <w:tcW w:w="1059" w:type="dxa"/>
          </w:tcPr>
          <w:p w14:paraId="57DA658E" w14:textId="77777777" w:rsidR="009A7D47" w:rsidRDefault="009A7D47" w:rsidP="009A7D47">
            <w:pPr>
              <w:spacing w:before="40" w:after="40" w:line="240" w:lineRule="auto"/>
              <w:jc w:val="right"/>
              <w:rPr>
                <w:sz w:val="20"/>
                <w:szCs w:val="20"/>
              </w:rPr>
            </w:pPr>
          </w:p>
        </w:tc>
        <w:tc>
          <w:tcPr>
            <w:tcW w:w="1059" w:type="dxa"/>
          </w:tcPr>
          <w:p w14:paraId="7076D02D" w14:textId="77777777" w:rsidR="009A7D47" w:rsidRDefault="009A7D47" w:rsidP="009A7D47">
            <w:pPr>
              <w:spacing w:before="40" w:after="40" w:line="240" w:lineRule="auto"/>
              <w:ind w:left="-671" w:firstLine="671"/>
              <w:jc w:val="right"/>
              <w:rPr>
                <w:sz w:val="20"/>
                <w:szCs w:val="20"/>
              </w:rPr>
            </w:pPr>
          </w:p>
        </w:tc>
      </w:tr>
      <w:tr w:rsidR="009A7D47" w:rsidRPr="00D35734" w14:paraId="0ADEA42A" w14:textId="77777777" w:rsidTr="00B138D4">
        <w:trPr>
          <w:trHeight w:val="255"/>
        </w:trPr>
        <w:tc>
          <w:tcPr>
            <w:tcW w:w="885" w:type="dxa"/>
            <w:shd w:val="clear" w:color="auto" w:fill="auto"/>
            <w:vAlign w:val="bottom"/>
          </w:tcPr>
          <w:p w14:paraId="108CD4BD"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585CB807" w:rsidR="009A7D47" w:rsidRDefault="009A7D47" w:rsidP="009A7D47">
            <w:pPr>
              <w:spacing w:before="40" w:after="40" w:line="240" w:lineRule="auto"/>
              <w:jc w:val="right"/>
              <w:rPr>
                <w:rFonts w:eastAsia="MS Mincho" w:cs="Arial"/>
                <w:sz w:val="20"/>
                <w:szCs w:val="20"/>
              </w:rPr>
            </w:pPr>
            <w:r>
              <w:rPr>
                <w:rFonts w:eastAsia="MS Mincho" w:cs="Arial"/>
                <w:sz w:val="20"/>
                <w:szCs w:val="20"/>
              </w:rPr>
              <w:t>$76,070</w:t>
            </w:r>
          </w:p>
        </w:tc>
        <w:tc>
          <w:tcPr>
            <w:tcW w:w="1059" w:type="dxa"/>
            <w:vAlign w:val="bottom"/>
          </w:tcPr>
          <w:p w14:paraId="7498A041"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E48CF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A5604FC" w14:textId="77777777" w:rsidR="009A7D47" w:rsidRPr="00530A1F" w:rsidRDefault="009A7D47" w:rsidP="009A7D47">
            <w:pPr>
              <w:spacing w:before="40" w:after="40" w:line="240" w:lineRule="auto"/>
              <w:jc w:val="right"/>
              <w:rPr>
                <w:sz w:val="20"/>
                <w:szCs w:val="20"/>
              </w:rPr>
            </w:pPr>
          </w:p>
        </w:tc>
        <w:tc>
          <w:tcPr>
            <w:tcW w:w="1059" w:type="dxa"/>
          </w:tcPr>
          <w:p w14:paraId="010A1F67" w14:textId="77777777" w:rsidR="009A7D47" w:rsidRDefault="009A7D47" w:rsidP="009A7D47">
            <w:pPr>
              <w:spacing w:before="40" w:after="40" w:line="240" w:lineRule="auto"/>
              <w:jc w:val="right"/>
              <w:rPr>
                <w:sz w:val="20"/>
                <w:szCs w:val="20"/>
              </w:rPr>
            </w:pPr>
          </w:p>
        </w:tc>
        <w:tc>
          <w:tcPr>
            <w:tcW w:w="1059" w:type="dxa"/>
          </w:tcPr>
          <w:p w14:paraId="7C635C73" w14:textId="77777777" w:rsidR="009A7D47" w:rsidRDefault="009A7D47" w:rsidP="009A7D47">
            <w:pPr>
              <w:spacing w:before="40" w:after="40" w:line="240" w:lineRule="auto"/>
              <w:ind w:left="-671" w:firstLine="671"/>
              <w:jc w:val="right"/>
              <w:rPr>
                <w:sz w:val="20"/>
                <w:szCs w:val="20"/>
              </w:rPr>
            </w:pPr>
          </w:p>
        </w:tc>
      </w:tr>
      <w:tr w:rsidR="009A7D47" w:rsidRPr="00D35734" w14:paraId="06B62195" w14:textId="77777777" w:rsidTr="00B138D4">
        <w:trPr>
          <w:trHeight w:val="255"/>
        </w:trPr>
        <w:tc>
          <w:tcPr>
            <w:tcW w:w="885" w:type="dxa"/>
            <w:shd w:val="clear" w:color="auto" w:fill="auto"/>
            <w:vAlign w:val="bottom"/>
          </w:tcPr>
          <w:p w14:paraId="1A4C8B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2DE19231" w:rsidR="009A7D47" w:rsidRPr="00C24557" w:rsidRDefault="009A7D47" w:rsidP="009A7D47">
            <w:pPr>
              <w:spacing w:before="40" w:after="40" w:line="240" w:lineRule="auto"/>
              <w:jc w:val="right"/>
              <w:rPr>
                <w:rFonts w:eastAsia="MS Mincho" w:cs="Arial"/>
                <w:sz w:val="20"/>
                <w:szCs w:val="20"/>
              </w:rPr>
            </w:pPr>
            <w:r>
              <w:rPr>
                <w:rFonts w:eastAsia="MS Mincho" w:cs="Arial"/>
                <w:sz w:val="20"/>
                <w:szCs w:val="20"/>
              </w:rPr>
              <w:t>$86,194</w:t>
            </w:r>
          </w:p>
        </w:tc>
        <w:tc>
          <w:tcPr>
            <w:tcW w:w="1059" w:type="dxa"/>
            <w:vAlign w:val="bottom"/>
          </w:tcPr>
          <w:p w14:paraId="68D606F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5D6577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AE68EB4" w14:textId="77777777" w:rsidR="009A7D47" w:rsidRPr="00530A1F" w:rsidRDefault="009A7D47" w:rsidP="009A7D47">
            <w:pPr>
              <w:spacing w:before="40" w:after="40" w:line="240" w:lineRule="auto"/>
              <w:jc w:val="right"/>
              <w:rPr>
                <w:sz w:val="20"/>
                <w:szCs w:val="20"/>
              </w:rPr>
            </w:pPr>
          </w:p>
        </w:tc>
        <w:tc>
          <w:tcPr>
            <w:tcW w:w="1059" w:type="dxa"/>
          </w:tcPr>
          <w:p w14:paraId="39FD6FD3" w14:textId="77777777" w:rsidR="009A7D47" w:rsidRDefault="009A7D47" w:rsidP="009A7D47">
            <w:pPr>
              <w:spacing w:before="40" w:after="40" w:line="240" w:lineRule="auto"/>
              <w:jc w:val="right"/>
              <w:rPr>
                <w:sz w:val="20"/>
                <w:szCs w:val="20"/>
              </w:rPr>
            </w:pPr>
          </w:p>
        </w:tc>
        <w:tc>
          <w:tcPr>
            <w:tcW w:w="1059" w:type="dxa"/>
          </w:tcPr>
          <w:p w14:paraId="4AB7C2B9" w14:textId="77777777" w:rsidR="009A7D47" w:rsidRDefault="009A7D47" w:rsidP="009A7D47">
            <w:pPr>
              <w:spacing w:before="40" w:after="40" w:line="240" w:lineRule="auto"/>
              <w:ind w:left="-671" w:firstLine="671"/>
              <w:jc w:val="right"/>
              <w:rPr>
                <w:sz w:val="20"/>
                <w:szCs w:val="20"/>
              </w:rPr>
            </w:pPr>
          </w:p>
        </w:tc>
      </w:tr>
      <w:tr w:rsidR="009A7D47" w:rsidRPr="00D35734" w14:paraId="3ADF6F98" w14:textId="77777777" w:rsidTr="00B138D4">
        <w:trPr>
          <w:trHeight w:val="255"/>
        </w:trPr>
        <w:tc>
          <w:tcPr>
            <w:tcW w:w="885" w:type="dxa"/>
            <w:shd w:val="clear" w:color="auto" w:fill="auto"/>
            <w:vAlign w:val="bottom"/>
          </w:tcPr>
          <w:p w14:paraId="1432F39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29FF0814"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$99,671</w:t>
            </w:r>
          </w:p>
        </w:tc>
        <w:tc>
          <w:tcPr>
            <w:tcW w:w="1059" w:type="dxa"/>
            <w:vAlign w:val="bottom"/>
          </w:tcPr>
          <w:p w14:paraId="2D168C79"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517D506"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0E542392" w14:textId="77777777" w:rsidR="009A7D47" w:rsidRPr="00530A1F" w:rsidRDefault="009A7D47" w:rsidP="009A7D47">
            <w:pPr>
              <w:spacing w:before="40" w:after="40" w:line="240" w:lineRule="auto"/>
              <w:jc w:val="right"/>
              <w:rPr>
                <w:sz w:val="20"/>
                <w:szCs w:val="20"/>
              </w:rPr>
            </w:pPr>
          </w:p>
        </w:tc>
        <w:tc>
          <w:tcPr>
            <w:tcW w:w="1059" w:type="dxa"/>
          </w:tcPr>
          <w:p w14:paraId="4CE54A17" w14:textId="77777777" w:rsidR="009A7D47" w:rsidRDefault="009A7D47" w:rsidP="009A7D47">
            <w:pPr>
              <w:spacing w:before="40" w:after="40" w:line="240" w:lineRule="auto"/>
              <w:jc w:val="right"/>
              <w:rPr>
                <w:sz w:val="20"/>
                <w:szCs w:val="20"/>
              </w:rPr>
            </w:pPr>
          </w:p>
        </w:tc>
        <w:tc>
          <w:tcPr>
            <w:tcW w:w="1059" w:type="dxa"/>
          </w:tcPr>
          <w:p w14:paraId="13583B16" w14:textId="77777777" w:rsidR="009A7D47" w:rsidRDefault="009A7D47" w:rsidP="009A7D47">
            <w:pPr>
              <w:spacing w:before="40" w:after="40" w:line="240" w:lineRule="auto"/>
              <w:ind w:left="-671" w:firstLine="671"/>
              <w:jc w:val="right"/>
              <w:rPr>
                <w:sz w:val="20"/>
                <w:szCs w:val="20"/>
              </w:rPr>
            </w:pPr>
          </w:p>
        </w:tc>
      </w:tr>
      <w:tr w:rsidR="009A7D47" w:rsidRPr="00D35734" w14:paraId="436B78E4" w14:textId="77777777" w:rsidTr="00B138D4">
        <w:trPr>
          <w:trHeight w:val="255"/>
        </w:trPr>
        <w:tc>
          <w:tcPr>
            <w:tcW w:w="885" w:type="dxa"/>
            <w:shd w:val="clear" w:color="auto" w:fill="auto"/>
            <w:vAlign w:val="bottom"/>
          </w:tcPr>
          <w:p w14:paraId="28C8E154"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361A72F5"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$117,216</w:t>
            </w:r>
          </w:p>
        </w:tc>
        <w:tc>
          <w:tcPr>
            <w:tcW w:w="1059" w:type="dxa"/>
            <w:vAlign w:val="bottom"/>
          </w:tcPr>
          <w:p w14:paraId="3EE345B2"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FF59448"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B466718" w14:textId="77777777" w:rsidR="009A7D47" w:rsidRPr="00530A1F" w:rsidRDefault="009A7D47" w:rsidP="009A7D47">
            <w:pPr>
              <w:spacing w:before="40" w:after="40" w:line="240" w:lineRule="auto"/>
              <w:jc w:val="right"/>
              <w:rPr>
                <w:sz w:val="20"/>
                <w:szCs w:val="20"/>
              </w:rPr>
            </w:pPr>
          </w:p>
        </w:tc>
        <w:tc>
          <w:tcPr>
            <w:tcW w:w="1059" w:type="dxa"/>
          </w:tcPr>
          <w:p w14:paraId="56EDF4DC" w14:textId="77777777" w:rsidR="009A7D47" w:rsidRDefault="009A7D47" w:rsidP="009A7D47">
            <w:pPr>
              <w:spacing w:before="40" w:after="40" w:line="240" w:lineRule="auto"/>
              <w:jc w:val="right"/>
              <w:rPr>
                <w:sz w:val="20"/>
                <w:szCs w:val="20"/>
              </w:rPr>
            </w:pPr>
          </w:p>
        </w:tc>
        <w:tc>
          <w:tcPr>
            <w:tcW w:w="1059" w:type="dxa"/>
          </w:tcPr>
          <w:p w14:paraId="01D7808E" w14:textId="77777777" w:rsidR="009A7D47" w:rsidRDefault="009A7D47" w:rsidP="009A7D47">
            <w:pPr>
              <w:spacing w:before="40" w:after="40" w:line="240" w:lineRule="auto"/>
              <w:ind w:left="-671" w:firstLine="671"/>
              <w:jc w:val="right"/>
              <w:rPr>
                <w:sz w:val="20"/>
                <w:szCs w:val="20"/>
              </w:rPr>
            </w:pPr>
          </w:p>
        </w:tc>
      </w:tr>
      <w:tr w:rsidR="009A7D47" w:rsidRPr="00D35734" w14:paraId="1A05B610" w14:textId="77777777" w:rsidTr="00B138D4">
        <w:trPr>
          <w:trHeight w:val="255"/>
        </w:trPr>
        <w:tc>
          <w:tcPr>
            <w:tcW w:w="885" w:type="dxa"/>
            <w:shd w:val="clear" w:color="auto" w:fill="auto"/>
            <w:vAlign w:val="bottom"/>
          </w:tcPr>
          <w:p w14:paraId="0D098A3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180647C0"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$129,583</w:t>
            </w:r>
          </w:p>
        </w:tc>
        <w:tc>
          <w:tcPr>
            <w:tcW w:w="1059" w:type="dxa"/>
            <w:vAlign w:val="bottom"/>
          </w:tcPr>
          <w:p w14:paraId="2C0B3C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2A6E7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4DD451D" w14:textId="77777777" w:rsidR="009A7D47" w:rsidRPr="00530A1F" w:rsidRDefault="009A7D47" w:rsidP="009A7D47">
            <w:pPr>
              <w:spacing w:before="40" w:after="40" w:line="240" w:lineRule="auto"/>
              <w:jc w:val="right"/>
              <w:rPr>
                <w:sz w:val="20"/>
                <w:szCs w:val="20"/>
              </w:rPr>
            </w:pPr>
          </w:p>
        </w:tc>
        <w:tc>
          <w:tcPr>
            <w:tcW w:w="1059" w:type="dxa"/>
          </w:tcPr>
          <w:p w14:paraId="17B160F9" w14:textId="77777777" w:rsidR="009A7D47" w:rsidRDefault="009A7D47" w:rsidP="009A7D47">
            <w:pPr>
              <w:spacing w:before="40" w:after="40" w:line="240" w:lineRule="auto"/>
              <w:jc w:val="right"/>
              <w:rPr>
                <w:sz w:val="20"/>
                <w:szCs w:val="20"/>
              </w:rPr>
            </w:pPr>
          </w:p>
        </w:tc>
        <w:tc>
          <w:tcPr>
            <w:tcW w:w="1059" w:type="dxa"/>
          </w:tcPr>
          <w:p w14:paraId="0AE1F877" w14:textId="77777777" w:rsidR="009A7D47" w:rsidRDefault="009A7D47" w:rsidP="009A7D47">
            <w:pPr>
              <w:spacing w:before="40" w:after="40" w:line="240" w:lineRule="auto"/>
              <w:ind w:left="-671" w:firstLine="671"/>
              <w:jc w:val="right"/>
              <w:rPr>
                <w:sz w:val="20"/>
                <w:szCs w:val="20"/>
              </w:rPr>
            </w:pPr>
          </w:p>
        </w:tc>
      </w:tr>
      <w:tr w:rsidR="009A7D47" w:rsidRPr="00D35734" w14:paraId="59C0F231" w14:textId="77777777" w:rsidTr="00B138D4">
        <w:trPr>
          <w:trHeight w:val="255"/>
        </w:trPr>
        <w:tc>
          <w:tcPr>
            <w:tcW w:w="885" w:type="dxa"/>
            <w:shd w:val="clear" w:color="auto" w:fill="auto"/>
            <w:vAlign w:val="bottom"/>
          </w:tcPr>
          <w:p w14:paraId="68264C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D647443"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$143,960</w:t>
            </w:r>
          </w:p>
        </w:tc>
        <w:tc>
          <w:tcPr>
            <w:tcW w:w="1059" w:type="dxa"/>
            <w:vAlign w:val="bottom"/>
          </w:tcPr>
          <w:p w14:paraId="607524E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915B605"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0F49A36" w14:textId="77777777" w:rsidR="009A7D47" w:rsidRPr="00530A1F" w:rsidRDefault="009A7D47" w:rsidP="009A7D47">
            <w:pPr>
              <w:spacing w:before="40" w:after="40" w:line="240" w:lineRule="auto"/>
              <w:jc w:val="right"/>
              <w:rPr>
                <w:sz w:val="20"/>
                <w:szCs w:val="20"/>
              </w:rPr>
            </w:pPr>
          </w:p>
        </w:tc>
        <w:tc>
          <w:tcPr>
            <w:tcW w:w="1059" w:type="dxa"/>
          </w:tcPr>
          <w:p w14:paraId="62CCCC87" w14:textId="77777777" w:rsidR="009A7D47" w:rsidRDefault="009A7D47" w:rsidP="009A7D47">
            <w:pPr>
              <w:spacing w:before="40" w:after="40" w:line="240" w:lineRule="auto"/>
              <w:jc w:val="right"/>
              <w:rPr>
                <w:sz w:val="20"/>
                <w:szCs w:val="20"/>
              </w:rPr>
            </w:pPr>
          </w:p>
        </w:tc>
        <w:tc>
          <w:tcPr>
            <w:tcW w:w="1059" w:type="dxa"/>
          </w:tcPr>
          <w:p w14:paraId="65CF38BF" w14:textId="77777777" w:rsidR="009A7D47" w:rsidRDefault="009A7D47" w:rsidP="009A7D47">
            <w:pPr>
              <w:spacing w:before="40" w:after="40" w:line="240" w:lineRule="auto"/>
              <w:ind w:left="-671" w:firstLine="671"/>
              <w:jc w:val="right"/>
              <w:rPr>
                <w:sz w:val="20"/>
                <w:szCs w:val="20"/>
              </w:rPr>
            </w:pPr>
          </w:p>
        </w:tc>
      </w:tr>
      <w:tr w:rsidR="009A7D47" w:rsidRPr="00D35734" w14:paraId="47507488" w14:textId="77777777" w:rsidTr="00B138D4">
        <w:trPr>
          <w:trHeight w:val="255"/>
        </w:trPr>
        <w:tc>
          <w:tcPr>
            <w:tcW w:w="885" w:type="dxa"/>
            <w:shd w:val="clear" w:color="auto" w:fill="auto"/>
            <w:vAlign w:val="bottom"/>
          </w:tcPr>
          <w:p w14:paraId="5A1836D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69E5345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$163,572</w:t>
            </w:r>
          </w:p>
        </w:tc>
        <w:tc>
          <w:tcPr>
            <w:tcW w:w="1059" w:type="dxa"/>
            <w:vAlign w:val="bottom"/>
          </w:tcPr>
          <w:p w14:paraId="6DB33E8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072DAE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21437368" w14:textId="77777777" w:rsidR="009A7D47" w:rsidRPr="00530A1F" w:rsidRDefault="009A7D47" w:rsidP="009A7D47">
            <w:pPr>
              <w:spacing w:before="40" w:after="40" w:line="240" w:lineRule="auto"/>
              <w:jc w:val="right"/>
              <w:rPr>
                <w:sz w:val="20"/>
                <w:szCs w:val="20"/>
              </w:rPr>
            </w:pPr>
          </w:p>
        </w:tc>
        <w:tc>
          <w:tcPr>
            <w:tcW w:w="1059" w:type="dxa"/>
          </w:tcPr>
          <w:p w14:paraId="33AF20D1" w14:textId="77777777" w:rsidR="009A7D47" w:rsidRDefault="009A7D47" w:rsidP="009A7D47">
            <w:pPr>
              <w:spacing w:before="40" w:after="40" w:line="240" w:lineRule="auto"/>
              <w:jc w:val="right"/>
              <w:rPr>
                <w:sz w:val="20"/>
                <w:szCs w:val="20"/>
              </w:rPr>
            </w:pPr>
          </w:p>
        </w:tc>
        <w:tc>
          <w:tcPr>
            <w:tcW w:w="1059" w:type="dxa"/>
          </w:tcPr>
          <w:p w14:paraId="608AC911" w14:textId="77777777" w:rsidR="009A7D47" w:rsidRDefault="009A7D47" w:rsidP="009A7D47">
            <w:pPr>
              <w:spacing w:before="40" w:after="40" w:line="240" w:lineRule="auto"/>
              <w:ind w:left="-671" w:firstLine="671"/>
              <w:jc w:val="right"/>
              <w:rPr>
                <w:sz w:val="20"/>
                <w:szCs w:val="20"/>
              </w:rPr>
            </w:pPr>
          </w:p>
        </w:tc>
      </w:tr>
      <w:tr w:rsidR="009A7D47" w:rsidRPr="00D35734" w14:paraId="4B0D2342" w14:textId="77777777" w:rsidTr="00B138D4">
        <w:trPr>
          <w:trHeight w:val="255"/>
        </w:trPr>
        <w:tc>
          <w:tcPr>
            <w:tcW w:w="885" w:type="dxa"/>
            <w:shd w:val="clear" w:color="auto" w:fill="auto"/>
            <w:vAlign w:val="bottom"/>
          </w:tcPr>
          <w:p w14:paraId="749359B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272614E"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$184,029</w:t>
            </w:r>
          </w:p>
        </w:tc>
        <w:tc>
          <w:tcPr>
            <w:tcW w:w="1059" w:type="dxa"/>
            <w:vAlign w:val="bottom"/>
          </w:tcPr>
          <w:p w14:paraId="1CD928D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2000F4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6755F9F7" w14:textId="77777777" w:rsidR="009A7D47" w:rsidRPr="00530A1F" w:rsidRDefault="009A7D47" w:rsidP="009A7D47">
            <w:pPr>
              <w:spacing w:before="40" w:after="40" w:line="240" w:lineRule="auto"/>
              <w:jc w:val="right"/>
              <w:rPr>
                <w:sz w:val="20"/>
                <w:szCs w:val="20"/>
              </w:rPr>
            </w:pPr>
          </w:p>
        </w:tc>
        <w:tc>
          <w:tcPr>
            <w:tcW w:w="1059" w:type="dxa"/>
          </w:tcPr>
          <w:p w14:paraId="68637243" w14:textId="77777777" w:rsidR="009A7D47" w:rsidRDefault="009A7D47" w:rsidP="009A7D47">
            <w:pPr>
              <w:spacing w:before="40" w:after="40" w:line="240" w:lineRule="auto"/>
              <w:jc w:val="right"/>
              <w:rPr>
                <w:sz w:val="20"/>
                <w:szCs w:val="20"/>
              </w:rPr>
            </w:pPr>
          </w:p>
        </w:tc>
        <w:tc>
          <w:tcPr>
            <w:tcW w:w="1059" w:type="dxa"/>
          </w:tcPr>
          <w:p w14:paraId="4A236601" w14:textId="77777777" w:rsidR="009A7D47" w:rsidRDefault="009A7D47" w:rsidP="009A7D47">
            <w:pPr>
              <w:spacing w:before="40" w:after="40" w:line="240" w:lineRule="auto"/>
              <w:ind w:left="-671" w:firstLine="671"/>
              <w:jc w:val="right"/>
              <w:rPr>
                <w:sz w:val="20"/>
                <w:szCs w:val="20"/>
              </w:rPr>
            </w:pPr>
          </w:p>
        </w:tc>
      </w:tr>
      <w:tr w:rsidR="009A7D47" w:rsidRPr="00D35734" w14:paraId="2BB62CE4" w14:textId="77777777" w:rsidTr="00B138D4">
        <w:trPr>
          <w:trHeight w:val="255"/>
        </w:trPr>
        <w:tc>
          <w:tcPr>
            <w:tcW w:w="885" w:type="dxa"/>
            <w:shd w:val="clear" w:color="auto" w:fill="auto"/>
            <w:vAlign w:val="bottom"/>
          </w:tcPr>
          <w:p w14:paraId="520E6E3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270C2A2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$207,844</w:t>
            </w:r>
          </w:p>
        </w:tc>
        <w:tc>
          <w:tcPr>
            <w:tcW w:w="1059" w:type="dxa"/>
            <w:vAlign w:val="bottom"/>
          </w:tcPr>
          <w:p w14:paraId="4277BBD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66E96BB"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5B993310" w14:textId="77777777" w:rsidR="009A7D47" w:rsidRPr="00530A1F" w:rsidRDefault="009A7D47" w:rsidP="009A7D47">
            <w:pPr>
              <w:spacing w:before="40" w:after="40" w:line="240" w:lineRule="auto"/>
              <w:jc w:val="right"/>
              <w:rPr>
                <w:sz w:val="20"/>
                <w:szCs w:val="20"/>
              </w:rPr>
            </w:pPr>
          </w:p>
        </w:tc>
        <w:tc>
          <w:tcPr>
            <w:tcW w:w="1059" w:type="dxa"/>
          </w:tcPr>
          <w:p w14:paraId="1F48D052" w14:textId="77777777" w:rsidR="009A7D47" w:rsidRDefault="009A7D47" w:rsidP="009A7D47">
            <w:pPr>
              <w:spacing w:before="40" w:after="40" w:line="240" w:lineRule="auto"/>
              <w:jc w:val="right"/>
              <w:rPr>
                <w:sz w:val="20"/>
                <w:szCs w:val="20"/>
              </w:rPr>
            </w:pPr>
          </w:p>
        </w:tc>
        <w:tc>
          <w:tcPr>
            <w:tcW w:w="1059" w:type="dxa"/>
          </w:tcPr>
          <w:p w14:paraId="476C95A8" w14:textId="77777777" w:rsidR="009A7D47" w:rsidRDefault="009A7D47" w:rsidP="009A7D47">
            <w:pPr>
              <w:spacing w:before="40" w:after="40" w:line="240" w:lineRule="auto"/>
              <w:ind w:left="-671" w:firstLine="671"/>
              <w:jc w:val="right"/>
              <w:rPr>
                <w:sz w:val="20"/>
                <w:szCs w:val="20"/>
              </w:rPr>
            </w:pPr>
          </w:p>
        </w:tc>
      </w:tr>
      <w:tr w:rsidR="009A7D47" w:rsidRPr="00D35734" w14:paraId="0A105D75" w14:textId="77777777" w:rsidTr="00B138D4">
        <w:trPr>
          <w:trHeight w:val="255"/>
        </w:trPr>
        <w:tc>
          <w:tcPr>
            <w:tcW w:w="885" w:type="dxa"/>
            <w:shd w:val="clear" w:color="auto" w:fill="auto"/>
            <w:vAlign w:val="bottom"/>
          </w:tcPr>
          <w:p w14:paraId="06E4FF06"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5B4BFC7B" w:rsidR="009A7D47" w:rsidRPr="00472C6A" w:rsidRDefault="00CC5FF8" w:rsidP="009A7D47">
            <w:pPr>
              <w:spacing w:before="40" w:after="40" w:line="240" w:lineRule="auto"/>
              <w:jc w:val="right"/>
              <w:rPr>
                <w:rFonts w:eastAsia="MS Mincho" w:cs="Arial"/>
                <w:sz w:val="20"/>
                <w:szCs w:val="20"/>
              </w:rPr>
            </w:pPr>
            <w:r>
              <w:rPr>
                <w:rFonts w:eastAsia="MS Mincho" w:cs="Arial"/>
                <w:sz w:val="20"/>
                <w:szCs w:val="20"/>
              </w:rPr>
              <w:t>$228,840</w:t>
            </w:r>
          </w:p>
        </w:tc>
        <w:tc>
          <w:tcPr>
            <w:tcW w:w="1059" w:type="dxa"/>
            <w:vAlign w:val="bottom"/>
          </w:tcPr>
          <w:p w14:paraId="459C252F"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24B676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1C9858B" w14:textId="77777777" w:rsidR="009A7D47" w:rsidRPr="00530A1F" w:rsidRDefault="009A7D47" w:rsidP="009A7D47">
            <w:pPr>
              <w:spacing w:before="40" w:after="40" w:line="240" w:lineRule="auto"/>
              <w:jc w:val="right"/>
              <w:rPr>
                <w:sz w:val="20"/>
                <w:szCs w:val="20"/>
              </w:rPr>
            </w:pPr>
          </w:p>
        </w:tc>
        <w:tc>
          <w:tcPr>
            <w:tcW w:w="1059" w:type="dxa"/>
          </w:tcPr>
          <w:p w14:paraId="5B152420" w14:textId="77777777" w:rsidR="009A7D47" w:rsidRDefault="009A7D47" w:rsidP="009A7D47">
            <w:pPr>
              <w:spacing w:before="40" w:after="40" w:line="240" w:lineRule="auto"/>
              <w:jc w:val="right"/>
              <w:rPr>
                <w:sz w:val="20"/>
                <w:szCs w:val="20"/>
              </w:rPr>
            </w:pPr>
          </w:p>
        </w:tc>
        <w:tc>
          <w:tcPr>
            <w:tcW w:w="1059" w:type="dxa"/>
          </w:tcPr>
          <w:p w14:paraId="5517B890" w14:textId="77777777" w:rsidR="009A7D47" w:rsidRDefault="009A7D47" w:rsidP="009A7D47">
            <w:pPr>
              <w:spacing w:before="40" w:after="40" w:line="240" w:lineRule="auto"/>
              <w:ind w:left="-671" w:firstLine="671"/>
              <w:jc w:val="right"/>
              <w:rPr>
                <w:sz w:val="20"/>
                <w:szCs w:val="20"/>
              </w:rPr>
            </w:pPr>
          </w:p>
        </w:tc>
      </w:tr>
      <w:tr w:rsidR="009A7D47" w:rsidRPr="00D35734" w14:paraId="1E110E1D" w14:textId="77777777" w:rsidTr="00B138D4">
        <w:trPr>
          <w:trHeight w:val="255"/>
        </w:trPr>
        <w:tc>
          <w:tcPr>
            <w:tcW w:w="885" w:type="dxa"/>
            <w:shd w:val="clear" w:color="auto" w:fill="auto"/>
            <w:vAlign w:val="bottom"/>
          </w:tcPr>
          <w:p w14:paraId="30DE0F9F"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A7D47" w:rsidRPr="003E6B4C" w:rsidRDefault="009A7D47"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$244,668</w:t>
            </w:r>
          </w:p>
        </w:tc>
        <w:tc>
          <w:tcPr>
            <w:tcW w:w="1059" w:type="dxa"/>
            <w:vAlign w:val="center"/>
          </w:tcPr>
          <w:p w14:paraId="719CE94B" w14:textId="671E3321" w:rsidR="009A7D47" w:rsidRDefault="00CC5FF8" w:rsidP="009A7D47">
            <w:pPr>
              <w:spacing w:line="240" w:lineRule="auto"/>
              <w:jc w:val="right"/>
              <w:rPr>
                <w:rFonts w:ascii="Source Sans Pro" w:hAnsi="Source Sans Pro"/>
                <w:color w:val="000000"/>
                <w:sz w:val="20"/>
                <w:szCs w:val="20"/>
              </w:rPr>
            </w:pPr>
            <w:r>
              <w:rPr>
                <w:rFonts w:ascii="Source Sans Pro" w:hAnsi="Source Sans Pro"/>
                <w:color w:val="000000"/>
                <w:sz w:val="20"/>
                <w:szCs w:val="20"/>
              </w:rPr>
              <w:t>$252,572</w:t>
            </w:r>
          </w:p>
        </w:tc>
        <w:tc>
          <w:tcPr>
            <w:tcW w:w="1059" w:type="dxa"/>
            <w:vAlign w:val="bottom"/>
          </w:tcPr>
          <w:p w14:paraId="2BAED30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CE2022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579EA90" w14:textId="77777777" w:rsidR="009A7D47" w:rsidRPr="00530A1F" w:rsidRDefault="009A7D47" w:rsidP="009A7D47">
            <w:pPr>
              <w:spacing w:before="40" w:after="40" w:line="240" w:lineRule="auto"/>
              <w:jc w:val="right"/>
              <w:rPr>
                <w:sz w:val="20"/>
                <w:szCs w:val="20"/>
              </w:rPr>
            </w:pPr>
          </w:p>
        </w:tc>
        <w:tc>
          <w:tcPr>
            <w:tcW w:w="1059" w:type="dxa"/>
          </w:tcPr>
          <w:p w14:paraId="21285FF8" w14:textId="77777777" w:rsidR="009A7D47" w:rsidRDefault="009A7D47" w:rsidP="009A7D47">
            <w:pPr>
              <w:spacing w:before="40" w:after="40" w:line="240" w:lineRule="auto"/>
              <w:jc w:val="right"/>
              <w:rPr>
                <w:sz w:val="20"/>
                <w:szCs w:val="20"/>
              </w:rPr>
            </w:pPr>
          </w:p>
        </w:tc>
        <w:tc>
          <w:tcPr>
            <w:tcW w:w="1059" w:type="dxa"/>
          </w:tcPr>
          <w:p w14:paraId="24F675C7" w14:textId="77777777" w:rsidR="009A7D47" w:rsidRDefault="009A7D47" w:rsidP="009A7D47">
            <w:pPr>
              <w:spacing w:before="40" w:after="40" w:line="240" w:lineRule="auto"/>
              <w:ind w:left="-671" w:firstLine="671"/>
              <w:jc w:val="right"/>
              <w:rPr>
                <w:sz w:val="20"/>
                <w:szCs w:val="20"/>
              </w:rPr>
            </w:pPr>
          </w:p>
        </w:tc>
      </w:tr>
      <w:tr w:rsidR="009A7D47" w:rsidRPr="00D35734" w14:paraId="34AC233D" w14:textId="77777777" w:rsidTr="00B138D4">
        <w:trPr>
          <w:trHeight w:val="255"/>
        </w:trPr>
        <w:tc>
          <w:tcPr>
            <w:tcW w:w="885" w:type="dxa"/>
            <w:shd w:val="clear" w:color="auto" w:fill="auto"/>
            <w:vAlign w:val="bottom"/>
          </w:tcPr>
          <w:p w14:paraId="0F573891"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5B291911" w:rsidR="009A7D47" w:rsidRPr="003E6B4C" w:rsidRDefault="00CC5FF8" w:rsidP="009A7D47">
            <w:pPr>
              <w:spacing w:before="40" w:after="40" w:line="240" w:lineRule="auto"/>
              <w:jc w:val="right"/>
              <w:rPr>
                <w:rFonts w:eastAsia="MS Mincho" w:cs="Arial"/>
                <w:sz w:val="20"/>
                <w:szCs w:val="20"/>
              </w:rPr>
            </w:pPr>
            <w:r>
              <w:rPr>
                <w:rFonts w:eastAsia="MS Mincho" w:cs="Arial"/>
                <w:sz w:val="20"/>
                <w:szCs w:val="20"/>
              </w:rPr>
              <w:t>$</w:t>
            </w:r>
            <w:r w:rsidR="009D4610">
              <w:rPr>
                <w:rFonts w:eastAsia="MS Mincho" w:cs="Arial"/>
                <w:sz w:val="20"/>
                <w:szCs w:val="20"/>
              </w:rPr>
              <w:t>276,821</w:t>
            </w:r>
          </w:p>
        </w:tc>
        <w:tc>
          <w:tcPr>
            <w:tcW w:w="1059" w:type="dxa"/>
            <w:vAlign w:val="bottom"/>
          </w:tcPr>
          <w:p w14:paraId="0A23823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0F4750A0"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DECB908" w14:textId="77777777" w:rsidR="009A7D47" w:rsidRPr="00530A1F" w:rsidRDefault="009A7D47" w:rsidP="009A7D47">
            <w:pPr>
              <w:spacing w:before="40" w:after="40" w:line="240" w:lineRule="auto"/>
              <w:jc w:val="right"/>
              <w:rPr>
                <w:sz w:val="20"/>
                <w:szCs w:val="20"/>
              </w:rPr>
            </w:pPr>
          </w:p>
        </w:tc>
        <w:tc>
          <w:tcPr>
            <w:tcW w:w="1059" w:type="dxa"/>
          </w:tcPr>
          <w:p w14:paraId="3D833682" w14:textId="77777777" w:rsidR="009A7D47" w:rsidRDefault="009A7D47" w:rsidP="009A7D47">
            <w:pPr>
              <w:spacing w:before="40" w:after="40" w:line="240" w:lineRule="auto"/>
              <w:jc w:val="right"/>
              <w:rPr>
                <w:sz w:val="20"/>
                <w:szCs w:val="20"/>
              </w:rPr>
            </w:pPr>
          </w:p>
        </w:tc>
        <w:tc>
          <w:tcPr>
            <w:tcW w:w="1059" w:type="dxa"/>
          </w:tcPr>
          <w:p w14:paraId="6DCEE174" w14:textId="77777777" w:rsidR="009A7D47" w:rsidRDefault="009A7D47" w:rsidP="009A7D47">
            <w:pPr>
              <w:spacing w:before="40" w:after="40" w:line="240" w:lineRule="auto"/>
              <w:ind w:left="-671" w:firstLine="671"/>
              <w:jc w:val="right"/>
              <w:rPr>
                <w:sz w:val="20"/>
                <w:szCs w:val="20"/>
              </w:rPr>
            </w:pPr>
          </w:p>
        </w:tc>
      </w:tr>
      <w:tr w:rsidR="009A7D47" w:rsidRPr="00D35734" w14:paraId="77868EB9" w14:textId="77777777" w:rsidTr="00B138D4">
        <w:trPr>
          <w:trHeight w:val="255"/>
        </w:trPr>
        <w:tc>
          <w:tcPr>
            <w:tcW w:w="885" w:type="dxa"/>
            <w:shd w:val="clear" w:color="auto" w:fill="auto"/>
            <w:vAlign w:val="bottom"/>
          </w:tcPr>
          <w:p w14:paraId="4AD0BDFE"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4A911B23"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$301,523</w:t>
            </w:r>
          </w:p>
        </w:tc>
        <w:tc>
          <w:tcPr>
            <w:tcW w:w="1059" w:type="dxa"/>
            <w:vAlign w:val="bottom"/>
          </w:tcPr>
          <w:p w14:paraId="68F007FA"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B6EE2C7"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7FEC7C8" w14:textId="77777777" w:rsidR="009A7D47" w:rsidRPr="00530A1F" w:rsidRDefault="009A7D47" w:rsidP="009A7D47">
            <w:pPr>
              <w:spacing w:before="40" w:after="40" w:line="240" w:lineRule="auto"/>
              <w:jc w:val="right"/>
              <w:rPr>
                <w:sz w:val="20"/>
                <w:szCs w:val="20"/>
              </w:rPr>
            </w:pPr>
          </w:p>
        </w:tc>
        <w:tc>
          <w:tcPr>
            <w:tcW w:w="1059" w:type="dxa"/>
          </w:tcPr>
          <w:p w14:paraId="1443152E" w14:textId="77777777" w:rsidR="009A7D47" w:rsidRDefault="009A7D47" w:rsidP="009A7D47">
            <w:pPr>
              <w:spacing w:before="40" w:after="40" w:line="240" w:lineRule="auto"/>
              <w:jc w:val="right"/>
              <w:rPr>
                <w:sz w:val="20"/>
                <w:szCs w:val="20"/>
              </w:rPr>
            </w:pPr>
          </w:p>
        </w:tc>
        <w:tc>
          <w:tcPr>
            <w:tcW w:w="1059" w:type="dxa"/>
          </w:tcPr>
          <w:p w14:paraId="6C905129" w14:textId="77777777" w:rsidR="009A7D47" w:rsidRDefault="009A7D47" w:rsidP="009A7D47">
            <w:pPr>
              <w:spacing w:before="40" w:after="40" w:line="240" w:lineRule="auto"/>
              <w:ind w:left="-671" w:firstLine="671"/>
              <w:jc w:val="right"/>
              <w:rPr>
                <w:sz w:val="20"/>
                <w:szCs w:val="20"/>
              </w:rPr>
            </w:pPr>
          </w:p>
        </w:tc>
      </w:tr>
      <w:tr w:rsidR="009A7D47" w:rsidRPr="00D35734" w14:paraId="08F8E939" w14:textId="77777777" w:rsidTr="00B138D4">
        <w:trPr>
          <w:trHeight w:val="255"/>
        </w:trPr>
        <w:tc>
          <w:tcPr>
            <w:tcW w:w="885" w:type="dxa"/>
            <w:shd w:val="clear" w:color="auto" w:fill="auto"/>
            <w:vAlign w:val="bottom"/>
          </w:tcPr>
          <w:p w14:paraId="001E40B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2C7EEB3C"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$329,006</w:t>
            </w:r>
          </w:p>
        </w:tc>
        <w:tc>
          <w:tcPr>
            <w:tcW w:w="1059" w:type="dxa"/>
            <w:vAlign w:val="bottom"/>
          </w:tcPr>
          <w:p w14:paraId="56F5B578"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2B3F9DED"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29A6510" w14:textId="77777777" w:rsidR="009A7D47" w:rsidRPr="00530A1F" w:rsidRDefault="009A7D47" w:rsidP="009A7D47">
            <w:pPr>
              <w:spacing w:before="40" w:after="40" w:line="240" w:lineRule="auto"/>
              <w:jc w:val="right"/>
              <w:rPr>
                <w:sz w:val="20"/>
                <w:szCs w:val="20"/>
              </w:rPr>
            </w:pPr>
          </w:p>
        </w:tc>
        <w:tc>
          <w:tcPr>
            <w:tcW w:w="1059" w:type="dxa"/>
          </w:tcPr>
          <w:p w14:paraId="3823FA18" w14:textId="77777777" w:rsidR="009A7D47" w:rsidRDefault="009A7D47" w:rsidP="009A7D47">
            <w:pPr>
              <w:spacing w:before="40" w:after="40" w:line="240" w:lineRule="auto"/>
              <w:jc w:val="right"/>
              <w:rPr>
                <w:sz w:val="20"/>
                <w:szCs w:val="20"/>
              </w:rPr>
            </w:pPr>
          </w:p>
        </w:tc>
        <w:tc>
          <w:tcPr>
            <w:tcW w:w="1059" w:type="dxa"/>
          </w:tcPr>
          <w:p w14:paraId="573E380B" w14:textId="77777777" w:rsidR="009A7D47" w:rsidRDefault="009A7D47" w:rsidP="009A7D47">
            <w:pPr>
              <w:spacing w:before="40" w:after="40" w:line="240" w:lineRule="auto"/>
              <w:ind w:left="-671" w:firstLine="671"/>
              <w:jc w:val="right"/>
              <w:rPr>
                <w:sz w:val="20"/>
                <w:szCs w:val="20"/>
              </w:rPr>
            </w:pPr>
          </w:p>
        </w:tc>
      </w:tr>
      <w:tr w:rsidR="009A7D47" w:rsidRPr="00D35734" w14:paraId="672C9D08" w14:textId="77777777" w:rsidTr="00B138D4">
        <w:trPr>
          <w:trHeight w:val="255"/>
        </w:trPr>
        <w:tc>
          <w:tcPr>
            <w:tcW w:w="885" w:type="dxa"/>
            <w:shd w:val="clear" w:color="auto" w:fill="auto"/>
            <w:vAlign w:val="bottom"/>
          </w:tcPr>
          <w:p w14:paraId="5017E069"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2468AFF8"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$356,876</w:t>
            </w:r>
          </w:p>
        </w:tc>
        <w:tc>
          <w:tcPr>
            <w:tcW w:w="1059" w:type="dxa"/>
            <w:vAlign w:val="bottom"/>
          </w:tcPr>
          <w:p w14:paraId="105D906B"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07A1FFA"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1829A220" w14:textId="77777777" w:rsidR="009A7D47" w:rsidRPr="00530A1F" w:rsidRDefault="009A7D47" w:rsidP="009A7D47">
            <w:pPr>
              <w:spacing w:before="40" w:after="40" w:line="240" w:lineRule="auto"/>
              <w:jc w:val="right"/>
              <w:rPr>
                <w:sz w:val="20"/>
                <w:szCs w:val="20"/>
              </w:rPr>
            </w:pPr>
          </w:p>
        </w:tc>
        <w:tc>
          <w:tcPr>
            <w:tcW w:w="1059" w:type="dxa"/>
          </w:tcPr>
          <w:p w14:paraId="103D531C" w14:textId="77777777" w:rsidR="009A7D47" w:rsidRDefault="009A7D47" w:rsidP="009A7D47">
            <w:pPr>
              <w:spacing w:before="40" w:after="40" w:line="240" w:lineRule="auto"/>
              <w:jc w:val="right"/>
              <w:rPr>
                <w:sz w:val="20"/>
                <w:szCs w:val="20"/>
              </w:rPr>
            </w:pPr>
          </w:p>
        </w:tc>
        <w:tc>
          <w:tcPr>
            <w:tcW w:w="1059" w:type="dxa"/>
          </w:tcPr>
          <w:p w14:paraId="1BAA1677" w14:textId="77777777" w:rsidR="009A7D47" w:rsidRDefault="009A7D47" w:rsidP="009A7D47">
            <w:pPr>
              <w:spacing w:before="40" w:after="40" w:line="240" w:lineRule="auto"/>
              <w:ind w:left="-671" w:firstLine="671"/>
              <w:jc w:val="right"/>
              <w:rPr>
                <w:sz w:val="20"/>
                <w:szCs w:val="20"/>
              </w:rPr>
            </w:pPr>
          </w:p>
        </w:tc>
      </w:tr>
      <w:tr w:rsidR="009A7D47" w:rsidRPr="00D35734" w14:paraId="28AEA2B5" w14:textId="77777777" w:rsidTr="00B138D4">
        <w:trPr>
          <w:trHeight w:val="255"/>
        </w:trPr>
        <w:tc>
          <w:tcPr>
            <w:tcW w:w="885" w:type="dxa"/>
            <w:shd w:val="clear" w:color="auto" w:fill="auto"/>
            <w:vAlign w:val="bottom"/>
          </w:tcPr>
          <w:p w14:paraId="359138E3"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58E679E5" w:rsidR="009A7D47" w:rsidRPr="003E6B4C" w:rsidRDefault="009D4610" w:rsidP="009A7D47">
            <w:pPr>
              <w:spacing w:before="40" w:after="40" w:line="240" w:lineRule="auto"/>
              <w:jc w:val="right"/>
              <w:rPr>
                <w:rFonts w:eastAsia="MS Mincho" w:cs="Arial"/>
                <w:sz w:val="20"/>
                <w:szCs w:val="20"/>
              </w:rPr>
            </w:pPr>
            <w:r>
              <w:rPr>
                <w:rFonts w:eastAsia="MS Mincho" w:cs="Arial"/>
                <w:sz w:val="20"/>
                <w:szCs w:val="20"/>
              </w:rPr>
              <w:t>$394,009</w:t>
            </w:r>
          </w:p>
        </w:tc>
        <w:tc>
          <w:tcPr>
            <w:tcW w:w="1059" w:type="dxa"/>
            <w:vAlign w:val="bottom"/>
          </w:tcPr>
          <w:p w14:paraId="5F9178C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6AD2CDD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342ECA3B" w14:textId="77777777" w:rsidR="009A7D47" w:rsidRPr="00530A1F" w:rsidRDefault="009A7D47" w:rsidP="009A7D47">
            <w:pPr>
              <w:spacing w:before="40" w:after="40" w:line="240" w:lineRule="auto"/>
              <w:jc w:val="right"/>
              <w:rPr>
                <w:sz w:val="20"/>
                <w:szCs w:val="20"/>
              </w:rPr>
            </w:pPr>
          </w:p>
        </w:tc>
        <w:tc>
          <w:tcPr>
            <w:tcW w:w="1059" w:type="dxa"/>
          </w:tcPr>
          <w:p w14:paraId="0211044B" w14:textId="77777777" w:rsidR="009A7D47" w:rsidRDefault="009A7D47" w:rsidP="009A7D47">
            <w:pPr>
              <w:spacing w:before="40" w:after="40" w:line="240" w:lineRule="auto"/>
              <w:jc w:val="right"/>
              <w:rPr>
                <w:sz w:val="20"/>
                <w:szCs w:val="20"/>
              </w:rPr>
            </w:pPr>
          </w:p>
        </w:tc>
        <w:tc>
          <w:tcPr>
            <w:tcW w:w="1059" w:type="dxa"/>
          </w:tcPr>
          <w:p w14:paraId="61DE4FF7" w14:textId="77777777" w:rsidR="009A7D47" w:rsidRDefault="009A7D47" w:rsidP="009A7D47">
            <w:pPr>
              <w:spacing w:before="40" w:after="40" w:line="240" w:lineRule="auto"/>
              <w:ind w:left="-671" w:firstLine="671"/>
              <w:jc w:val="right"/>
              <w:rPr>
                <w:sz w:val="20"/>
                <w:szCs w:val="20"/>
              </w:rPr>
            </w:pPr>
          </w:p>
        </w:tc>
      </w:tr>
      <w:tr w:rsidR="009A7D47" w:rsidRPr="00D35734" w14:paraId="09E02691" w14:textId="77777777" w:rsidTr="00B138D4">
        <w:trPr>
          <w:trHeight w:val="255"/>
        </w:trPr>
        <w:tc>
          <w:tcPr>
            <w:tcW w:w="885" w:type="dxa"/>
            <w:shd w:val="clear" w:color="auto" w:fill="auto"/>
            <w:vAlign w:val="bottom"/>
          </w:tcPr>
          <w:p w14:paraId="4EA4BA6B"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05D5AA79"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$432,030</w:t>
            </w:r>
          </w:p>
        </w:tc>
        <w:tc>
          <w:tcPr>
            <w:tcW w:w="1059" w:type="dxa"/>
            <w:vAlign w:val="bottom"/>
          </w:tcPr>
          <w:p w14:paraId="71EC89C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1A6FA829"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4892FE57" w14:textId="77777777" w:rsidR="009A7D47" w:rsidRPr="00530A1F" w:rsidRDefault="009A7D47" w:rsidP="009A7D47">
            <w:pPr>
              <w:spacing w:before="40" w:after="40" w:line="240" w:lineRule="auto"/>
              <w:jc w:val="right"/>
              <w:rPr>
                <w:sz w:val="20"/>
                <w:szCs w:val="20"/>
              </w:rPr>
            </w:pPr>
          </w:p>
        </w:tc>
        <w:tc>
          <w:tcPr>
            <w:tcW w:w="1059" w:type="dxa"/>
          </w:tcPr>
          <w:p w14:paraId="4A343A74" w14:textId="77777777" w:rsidR="009A7D47" w:rsidRDefault="009A7D47" w:rsidP="009A7D47">
            <w:pPr>
              <w:spacing w:before="40" w:after="40" w:line="240" w:lineRule="auto"/>
              <w:jc w:val="right"/>
              <w:rPr>
                <w:sz w:val="20"/>
                <w:szCs w:val="20"/>
              </w:rPr>
            </w:pPr>
          </w:p>
        </w:tc>
        <w:tc>
          <w:tcPr>
            <w:tcW w:w="1059" w:type="dxa"/>
          </w:tcPr>
          <w:p w14:paraId="50B34EBA" w14:textId="77777777" w:rsidR="009A7D47" w:rsidRDefault="009A7D47" w:rsidP="009A7D47">
            <w:pPr>
              <w:spacing w:before="40" w:after="40" w:line="240" w:lineRule="auto"/>
              <w:ind w:left="-671" w:firstLine="671"/>
              <w:jc w:val="right"/>
              <w:rPr>
                <w:sz w:val="20"/>
                <w:szCs w:val="20"/>
              </w:rPr>
            </w:pPr>
          </w:p>
        </w:tc>
      </w:tr>
      <w:tr w:rsidR="009A7D47" w:rsidRPr="00D35734" w14:paraId="22E55A69" w14:textId="77777777" w:rsidTr="00B138D4">
        <w:trPr>
          <w:trHeight w:val="255"/>
        </w:trPr>
        <w:tc>
          <w:tcPr>
            <w:tcW w:w="885" w:type="dxa"/>
            <w:shd w:val="clear" w:color="auto" w:fill="auto"/>
            <w:vAlign w:val="bottom"/>
          </w:tcPr>
          <w:p w14:paraId="773438DA" w14:textId="77777777" w:rsidR="009A7D47" w:rsidRPr="00D35734" w:rsidRDefault="009A7D47" w:rsidP="009A7D47">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029BBAEB" w:rsidR="009A7D47" w:rsidRPr="003E6B4C" w:rsidRDefault="00A81B2E" w:rsidP="009A7D47">
            <w:pPr>
              <w:spacing w:before="40" w:after="40" w:line="240" w:lineRule="auto"/>
              <w:jc w:val="right"/>
              <w:rPr>
                <w:rFonts w:eastAsia="MS Mincho" w:cs="Arial"/>
                <w:sz w:val="20"/>
                <w:szCs w:val="20"/>
              </w:rPr>
            </w:pPr>
            <w:r>
              <w:rPr>
                <w:rFonts w:eastAsia="MS Mincho" w:cs="Arial"/>
                <w:sz w:val="20"/>
                <w:szCs w:val="20"/>
              </w:rPr>
              <w:t>$474,542</w:t>
            </w:r>
          </w:p>
        </w:tc>
        <w:tc>
          <w:tcPr>
            <w:tcW w:w="1059" w:type="dxa"/>
            <w:vAlign w:val="bottom"/>
          </w:tcPr>
          <w:p w14:paraId="6F74EB15"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736B69A1" w14:textId="77777777" w:rsidR="009A7D47" w:rsidRPr="00530A1F" w:rsidRDefault="009A7D47" w:rsidP="009A7D47">
            <w:pPr>
              <w:spacing w:before="40" w:after="40" w:line="240" w:lineRule="auto"/>
              <w:jc w:val="right"/>
              <w:rPr>
                <w:rFonts w:eastAsia="MS Mincho" w:cs="Arial"/>
                <w:sz w:val="20"/>
                <w:szCs w:val="20"/>
              </w:rPr>
            </w:pPr>
          </w:p>
        </w:tc>
        <w:tc>
          <w:tcPr>
            <w:tcW w:w="1059" w:type="dxa"/>
          </w:tcPr>
          <w:p w14:paraId="7AC03FFE" w14:textId="77777777" w:rsidR="009A7D47" w:rsidRPr="00530A1F" w:rsidRDefault="009A7D47" w:rsidP="009A7D47">
            <w:pPr>
              <w:spacing w:before="40" w:after="40" w:line="240" w:lineRule="auto"/>
              <w:jc w:val="right"/>
              <w:rPr>
                <w:sz w:val="20"/>
                <w:szCs w:val="20"/>
              </w:rPr>
            </w:pPr>
          </w:p>
        </w:tc>
        <w:tc>
          <w:tcPr>
            <w:tcW w:w="1059" w:type="dxa"/>
          </w:tcPr>
          <w:p w14:paraId="3C63F2E0" w14:textId="77777777" w:rsidR="009A7D47" w:rsidRDefault="009A7D47" w:rsidP="009A7D47">
            <w:pPr>
              <w:spacing w:before="40" w:after="40" w:line="240" w:lineRule="auto"/>
              <w:jc w:val="right"/>
              <w:rPr>
                <w:sz w:val="20"/>
                <w:szCs w:val="20"/>
              </w:rPr>
            </w:pPr>
          </w:p>
        </w:tc>
        <w:tc>
          <w:tcPr>
            <w:tcW w:w="1059" w:type="dxa"/>
          </w:tcPr>
          <w:p w14:paraId="6169621A" w14:textId="77777777" w:rsidR="009A7D47" w:rsidRDefault="009A7D47" w:rsidP="009A7D47">
            <w:pPr>
              <w:spacing w:before="40" w:after="40" w:line="240" w:lineRule="auto"/>
              <w:ind w:left="-671" w:firstLine="671"/>
              <w:jc w:val="right"/>
              <w:rPr>
                <w:sz w:val="20"/>
                <w:szCs w:val="20"/>
              </w:rPr>
            </w:pPr>
          </w:p>
        </w:tc>
      </w:tr>
      <w:tr w:rsidR="009A7D47" w:rsidRPr="00D35734" w14:paraId="6570433D" w14:textId="77777777" w:rsidTr="00B138D4">
        <w:trPr>
          <w:trHeight w:val="255"/>
        </w:trPr>
        <w:tc>
          <w:tcPr>
            <w:tcW w:w="885" w:type="dxa"/>
            <w:shd w:val="clear" w:color="auto" w:fill="auto"/>
            <w:vAlign w:val="bottom"/>
          </w:tcPr>
          <w:p w14:paraId="53CA3540"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6E422332"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$503,995</w:t>
            </w:r>
          </w:p>
        </w:tc>
        <w:tc>
          <w:tcPr>
            <w:tcW w:w="1059" w:type="dxa"/>
          </w:tcPr>
          <w:p w14:paraId="0FDD2530"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1E852C4" w14:textId="77777777" w:rsidR="009A7D47" w:rsidRPr="00530A1F" w:rsidRDefault="009A7D47" w:rsidP="009A7D47">
            <w:pPr>
              <w:spacing w:before="40" w:after="40" w:line="240" w:lineRule="auto"/>
              <w:jc w:val="right"/>
              <w:rPr>
                <w:sz w:val="20"/>
                <w:szCs w:val="20"/>
              </w:rPr>
            </w:pPr>
          </w:p>
        </w:tc>
        <w:tc>
          <w:tcPr>
            <w:tcW w:w="1059" w:type="dxa"/>
          </w:tcPr>
          <w:p w14:paraId="38BC091D" w14:textId="77777777" w:rsidR="009A7D47" w:rsidRDefault="009A7D47" w:rsidP="009A7D47">
            <w:pPr>
              <w:spacing w:before="40" w:after="40" w:line="240" w:lineRule="auto"/>
              <w:jc w:val="right"/>
              <w:rPr>
                <w:sz w:val="20"/>
                <w:szCs w:val="20"/>
              </w:rPr>
            </w:pPr>
          </w:p>
        </w:tc>
        <w:tc>
          <w:tcPr>
            <w:tcW w:w="1059" w:type="dxa"/>
          </w:tcPr>
          <w:p w14:paraId="20B66432" w14:textId="77777777" w:rsidR="009A7D47" w:rsidRDefault="009A7D47" w:rsidP="009A7D47">
            <w:pPr>
              <w:spacing w:before="40" w:after="40" w:line="240" w:lineRule="auto"/>
              <w:jc w:val="right"/>
              <w:rPr>
                <w:sz w:val="20"/>
                <w:szCs w:val="20"/>
              </w:rPr>
            </w:pPr>
          </w:p>
        </w:tc>
        <w:tc>
          <w:tcPr>
            <w:tcW w:w="1059" w:type="dxa"/>
          </w:tcPr>
          <w:p w14:paraId="102E90A8" w14:textId="77777777" w:rsidR="009A7D47" w:rsidRDefault="009A7D47" w:rsidP="009A7D47">
            <w:pPr>
              <w:spacing w:before="40" w:after="40" w:line="240" w:lineRule="auto"/>
              <w:ind w:left="-671" w:firstLine="671"/>
              <w:jc w:val="right"/>
              <w:rPr>
                <w:sz w:val="20"/>
                <w:szCs w:val="20"/>
              </w:rPr>
            </w:pPr>
          </w:p>
        </w:tc>
      </w:tr>
      <w:tr w:rsidR="009A7D47" w:rsidRPr="00D35734" w14:paraId="790781B0" w14:textId="77777777" w:rsidTr="00B138D4">
        <w:trPr>
          <w:trHeight w:val="255"/>
        </w:trPr>
        <w:tc>
          <w:tcPr>
            <w:tcW w:w="885" w:type="dxa"/>
            <w:shd w:val="clear" w:color="auto" w:fill="auto"/>
            <w:vAlign w:val="bottom"/>
          </w:tcPr>
          <w:p w14:paraId="1ED05C92"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51736771"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$524,155</w:t>
            </w:r>
          </w:p>
        </w:tc>
        <w:tc>
          <w:tcPr>
            <w:tcW w:w="1059" w:type="dxa"/>
          </w:tcPr>
          <w:p w14:paraId="5811ABF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38FF0B8E" w14:textId="77777777" w:rsidR="009A7D47" w:rsidRPr="00530A1F" w:rsidRDefault="009A7D47" w:rsidP="009A7D47">
            <w:pPr>
              <w:spacing w:before="40" w:after="40" w:line="240" w:lineRule="auto"/>
              <w:jc w:val="right"/>
              <w:rPr>
                <w:sz w:val="20"/>
                <w:szCs w:val="20"/>
              </w:rPr>
            </w:pPr>
          </w:p>
        </w:tc>
        <w:tc>
          <w:tcPr>
            <w:tcW w:w="1059" w:type="dxa"/>
          </w:tcPr>
          <w:p w14:paraId="2B6B24D9" w14:textId="77777777" w:rsidR="009A7D47" w:rsidRDefault="009A7D47" w:rsidP="009A7D47">
            <w:pPr>
              <w:spacing w:before="40" w:after="40" w:line="240" w:lineRule="auto"/>
              <w:jc w:val="right"/>
              <w:rPr>
                <w:sz w:val="20"/>
                <w:szCs w:val="20"/>
              </w:rPr>
            </w:pPr>
          </w:p>
        </w:tc>
        <w:tc>
          <w:tcPr>
            <w:tcW w:w="1059" w:type="dxa"/>
          </w:tcPr>
          <w:p w14:paraId="48715FA4" w14:textId="77777777" w:rsidR="009A7D47" w:rsidRDefault="009A7D47" w:rsidP="009A7D47">
            <w:pPr>
              <w:spacing w:before="40" w:after="40" w:line="240" w:lineRule="auto"/>
              <w:jc w:val="right"/>
              <w:rPr>
                <w:sz w:val="20"/>
                <w:szCs w:val="20"/>
              </w:rPr>
            </w:pPr>
          </w:p>
        </w:tc>
        <w:tc>
          <w:tcPr>
            <w:tcW w:w="1059" w:type="dxa"/>
          </w:tcPr>
          <w:p w14:paraId="406EE301" w14:textId="77777777" w:rsidR="009A7D47" w:rsidRDefault="009A7D47" w:rsidP="009A7D47">
            <w:pPr>
              <w:spacing w:before="40" w:after="40" w:line="240" w:lineRule="auto"/>
              <w:ind w:left="-671" w:firstLine="671"/>
              <w:jc w:val="right"/>
              <w:rPr>
                <w:sz w:val="20"/>
                <w:szCs w:val="20"/>
              </w:rPr>
            </w:pPr>
          </w:p>
        </w:tc>
      </w:tr>
      <w:tr w:rsidR="009A7D47" w:rsidRPr="00D35734" w14:paraId="2A88039F" w14:textId="77777777" w:rsidTr="00B138D4">
        <w:trPr>
          <w:trHeight w:val="255"/>
        </w:trPr>
        <w:tc>
          <w:tcPr>
            <w:tcW w:w="885" w:type="dxa"/>
            <w:shd w:val="clear" w:color="auto" w:fill="auto"/>
            <w:vAlign w:val="bottom"/>
          </w:tcPr>
          <w:p w14:paraId="30074575"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0B69F4E9"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$545,122</w:t>
            </w:r>
          </w:p>
        </w:tc>
        <w:tc>
          <w:tcPr>
            <w:tcW w:w="1059" w:type="dxa"/>
          </w:tcPr>
          <w:p w14:paraId="3CACB774"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906B0AF" w14:textId="77777777" w:rsidR="009A7D47" w:rsidRPr="00530A1F" w:rsidRDefault="009A7D47" w:rsidP="009A7D47">
            <w:pPr>
              <w:spacing w:before="40" w:after="40" w:line="240" w:lineRule="auto"/>
              <w:jc w:val="right"/>
              <w:rPr>
                <w:sz w:val="20"/>
                <w:szCs w:val="20"/>
              </w:rPr>
            </w:pPr>
          </w:p>
        </w:tc>
        <w:tc>
          <w:tcPr>
            <w:tcW w:w="1059" w:type="dxa"/>
          </w:tcPr>
          <w:p w14:paraId="20B517B9" w14:textId="77777777" w:rsidR="009A7D47" w:rsidRDefault="009A7D47" w:rsidP="009A7D47">
            <w:pPr>
              <w:spacing w:before="40" w:after="40" w:line="240" w:lineRule="auto"/>
              <w:jc w:val="right"/>
              <w:rPr>
                <w:sz w:val="20"/>
                <w:szCs w:val="20"/>
              </w:rPr>
            </w:pPr>
          </w:p>
        </w:tc>
        <w:tc>
          <w:tcPr>
            <w:tcW w:w="1059" w:type="dxa"/>
          </w:tcPr>
          <w:p w14:paraId="5E5BC821" w14:textId="77777777" w:rsidR="009A7D47" w:rsidRDefault="009A7D47" w:rsidP="009A7D47">
            <w:pPr>
              <w:spacing w:before="40" w:after="40" w:line="240" w:lineRule="auto"/>
              <w:jc w:val="right"/>
              <w:rPr>
                <w:sz w:val="20"/>
                <w:szCs w:val="20"/>
              </w:rPr>
            </w:pPr>
          </w:p>
        </w:tc>
        <w:tc>
          <w:tcPr>
            <w:tcW w:w="1059" w:type="dxa"/>
          </w:tcPr>
          <w:p w14:paraId="02199579" w14:textId="77777777" w:rsidR="009A7D47" w:rsidRDefault="009A7D47" w:rsidP="009A7D47">
            <w:pPr>
              <w:spacing w:before="40" w:after="40" w:line="240" w:lineRule="auto"/>
              <w:ind w:left="-671" w:firstLine="671"/>
              <w:jc w:val="right"/>
              <w:rPr>
                <w:sz w:val="20"/>
                <w:szCs w:val="20"/>
              </w:rPr>
            </w:pPr>
          </w:p>
        </w:tc>
      </w:tr>
      <w:tr w:rsidR="009A7D47" w:rsidRPr="00D35734" w14:paraId="7D0323D7" w14:textId="77777777" w:rsidTr="00B138D4">
        <w:trPr>
          <w:trHeight w:val="255"/>
        </w:trPr>
        <w:tc>
          <w:tcPr>
            <w:tcW w:w="885" w:type="dxa"/>
            <w:shd w:val="clear" w:color="auto" w:fill="auto"/>
            <w:vAlign w:val="bottom"/>
          </w:tcPr>
          <w:p w14:paraId="3EFFBB3D"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0F285203"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$566,926</w:t>
            </w:r>
          </w:p>
        </w:tc>
        <w:tc>
          <w:tcPr>
            <w:tcW w:w="1059" w:type="dxa"/>
          </w:tcPr>
          <w:p w14:paraId="7F7BAB7E"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466EF450" w14:textId="77777777" w:rsidR="009A7D47" w:rsidRPr="00530A1F" w:rsidRDefault="009A7D47" w:rsidP="009A7D47">
            <w:pPr>
              <w:spacing w:before="40" w:after="40" w:line="240" w:lineRule="auto"/>
              <w:jc w:val="right"/>
              <w:rPr>
                <w:sz w:val="20"/>
                <w:szCs w:val="20"/>
              </w:rPr>
            </w:pPr>
          </w:p>
        </w:tc>
        <w:tc>
          <w:tcPr>
            <w:tcW w:w="1059" w:type="dxa"/>
          </w:tcPr>
          <w:p w14:paraId="299F7E80" w14:textId="77777777" w:rsidR="009A7D47" w:rsidRDefault="009A7D47" w:rsidP="009A7D47">
            <w:pPr>
              <w:spacing w:before="40" w:after="40" w:line="240" w:lineRule="auto"/>
              <w:jc w:val="right"/>
              <w:rPr>
                <w:sz w:val="20"/>
                <w:szCs w:val="20"/>
              </w:rPr>
            </w:pPr>
          </w:p>
        </w:tc>
        <w:tc>
          <w:tcPr>
            <w:tcW w:w="1059" w:type="dxa"/>
          </w:tcPr>
          <w:p w14:paraId="66C4BB61" w14:textId="77777777" w:rsidR="009A7D47" w:rsidRDefault="009A7D47" w:rsidP="009A7D47">
            <w:pPr>
              <w:spacing w:before="40" w:after="40" w:line="240" w:lineRule="auto"/>
              <w:jc w:val="right"/>
              <w:rPr>
                <w:sz w:val="20"/>
                <w:szCs w:val="20"/>
              </w:rPr>
            </w:pPr>
          </w:p>
        </w:tc>
        <w:tc>
          <w:tcPr>
            <w:tcW w:w="1059" w:type="dxa"/>
          </w:tcPr>
          <w:p w14:paraId="24557200" w14:textId="77777777" w:rsidR="009A7D47" w:rsidRDefault="009A7D47" w:rsidP="009A7D47">
            <w:pPr>
              <w:spacing w:before="40" w:after="40" w:line="240" w:lineRule="auto"/>
              <w:ind w:left="-671" w:firstLine="671"/>
              <w:jc w:val="right"/>
              <w:rPr>
                <w:sz w:val="20"/>
                <w:szCs w:val="20"/>
              </w:rPr>
            </w:pPr>
          </w:p>
        </w:tc>
      </w:tr>
      <w:tr w:rsidR="009A7D47" w:rsidRPr="00D35734" w14:paraId="3C6F27A3" w14:textId="77777777" w:rsidTr="00B138D4">
        <w:trPr>
          <w:trHeight w:val="255"/>
        </w:trPr>
        <w:tc>
          <w:tcPr>
            <w:tcW w:w="885" w:type="dxa"/>
            <w:shd w:val="clear" w:color="auto" w:fill="auto"/>
            <w:vAlign w:val="bottom"/>
          </w:tcPr>
          <w:p w14:paraId="7C82F7FF" w14:textId="77777777" w:rsidR="009A7D47" w:rsidRPr="00D35734" w:rsidRDefault="009A7D47" w:rsidP="009A7D47">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A7D47" w:rsidRPr="00D35734" w:rsidRDefault="009A7D47" w:rsidP="009A7D47">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A7D47" w:rsidRPr="003E6B4C" w:rsidRDefault="009A7D47" w:rsidP="009A7D47">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6454FBFC" w:rsidR="009A7D47" w:rsidRPr="00075D01" w:rsidRDefault="00A81B2E" w:rsidP="009A7D47">
            <w:pPr>
              <w:spacing w:before="40" w:after="40" w:line="240" w:lineRule="auto"/>
              <w:jc w:val="right"/>
              <w:rPr>
                <w:rFonts w:eastAsia="MS Mincho" w:cs="Arial"/>
                <w:sz w:val="20"/>
                <w:szCs w:val="20"/>
              </w:rPr>
            </w:pPr>
            <w:r>
              <w:rPr>
                <w:rFonts w:eastAsia="MS Mincho" w:cs="Arial"/>
                <w:sz w:val="20"/>
                <w:szCs w:val="20"/>
              </w:rPr>
              <w:t>$589,603</w:t>
            </w:r>
          </w:p>
        </w:tc>
        <w:tc>
          <w:tcPr>
            <w:tcW w:w="1059" w:type="dxa"/>
          </w:tcPr>
          <w:p w14:paraId="6156C817" w14:textId="77777777" w:rsidR="009A7D47" w:rsidRPr="00B8694C" w:rsidRDefault="009A7D47" w:rsidP="009A7D47">
            <w:pPr>
              <w:spacing w:before="40" w:after="40" w:line="240" w:lineRule="auto"/>
              <w:jc w:val="right"/>
              <w:rPr>
                <w:rFonts w:eastAsia="MS Mincho" w:cs="Arial"/>
                <w:sz w:val="20"/>
                <w:szCs w:val="20"/>
              </w:rPr>
            </w:pPr>
          </w:p>
        </w:tc>
        <w:tc>
          <w:tcPr>
            <w:tcW w:w="1059" w:type="dxa"/>
          </w:tcPr>
          <w:p w14:paraId="5946FDEF" w14:textId="77777777" w:rsidR="009A7D47" w:rsidRPr="00530A1F" w:rsidRDefault="009A7D47" w:rsidP="009A7D47">
            <w:pPr>
              <w:spacing w:before="40" w:after="40" w:line="240" w:lineRule="auto"/>
              <w:jc w:val="right"/>
              <w:rPr>
                <w:sz w:val="20"/>
                <w:szCs w:val="20"/>
              </w:rPr>
            </w:pPr>
          </w:p>
        </w:tc>
        <w:tc>
          <w:tcPr>
            <w:tcW w:w="1059" w:type="dxa"/>
          </w:tcPr>
          <w:p w14:paraId="1388A307" w14:textId="77777777" w:rsidR="009A7D47" w:rsidRDefault="009A7D47" w:rsidP="009A7D47">
            <w:pPr>
              <w:spacing w:before="40" w:after="40" w:line="240" w:lineRule="auto"/>
              <w:jc w:val="right"/>
              <w:rPr>
                <w:sz w:val="20"/>
                <w:szCs w:val="20"/>
              </w:rPr>
            </w:pPr>
          </w:p>
        </w:tc>
        <w:tc>
          <w:tcPr>
            <w:tcW w:w="1059" w:type="dxa"/>
          </w:tcPr>
          <w:p w14:paraId="7BE2F7EA" w14:textId="77777777" w:rsidR="009A7D47" w:rsidRDefault="009A7D47" w:rsidP="009A7D47">
            <w:pPr>
              <w:spacing w:before="40" w:after="40" w:line="240" w:lineRule="auto"/>
              <w:jc w:val="right"/>
              <w:rPr>
                <w:sz w:val="20"/>
                <w:szCs w:val="20"/>
              </w:rPr>
            </w:pPr>
          </w:p>
        </w:tc>
        <w:tc>
          <w:tcPr>
            <w:tcW w:w="1059" w:type="dxa"/>
          </w:tcPr>
          <w:p w14:paraId="4D4DCAF0" w14:textId="77777777" w:rsidR="009A7D47" w:rsidRDefault="009A7D47" w:rsidP="009A7D47">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98115847"/>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w:t>
            </w:r>
            <w:proofErr w:type="gramStart"/>
            <w:r>
              <w:rPr>
                <w:rFonts w:ascii="Source Sans Pro" w:eastAsia="MS Mincho" w:hAnsi="Source Sans Pro" w:cs="Times New Roman"/>
                <w:sz w:val="20"/>
                <w:szCs w:val="20"/>
              </w:rPr>
              <w:t>A</w:t>
            </w:r>
            <w:r w:rsidRPr="00087372">
              <w:rPr>
                <w:rFonts w:ascii="Source Sans Pro" w:eastAsia="MS Mincho" w:hAnsi="Source Sans Pro" w:cs="Times New Roman"/>
                <w:sz w:val="20"/>
                <w:szCs w:val="20"/>
              </w:rPr>
              <w:t>(</w:t>
            </w:r>
            <w:proofErr w:type="gramEnd"/>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856EE3" w:rsidRPr="000A23DA" w14:paraId="66E2AA75" w14:textId="77777777" w:rsidTr="00C978BC">
        <w:trPr>
          <w:cantSplit/>
        </w:trPr>
        <w:tc>
          <w:tcPr>
            <w:tcW w:w="1666" w:type="dxa"/>
            <w:tcBorders>
              <w:right w:val="single" w:sz="2" w:space="0" w:color="A81C26"/>
            </w:tcBorders>
            <w:shd w:val="clear" w:color="auto" w:fill="auto"/>
          </w:tcPr>
          <w:p w14:paraId="02CD037F" w14:textId="62644A0E" w:rsidR="00856EE3" w:rsidRDefault="00856EE3"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479" w:type="dxa"/>
            <w:tcBorders>
              <w:left w:val="single" w:sz="2" w:space="0" w:color="A81C26"/>
              <w:right w:val="single" w:sz="2" w:space="0" w:color="A81C26"/>
            </w:tcBorders>
            <w:shd w:val="clear" w:color="auto" w:fill="auto"/>
          </w:tcPr>
          <w:p w14:paraId="0E0BD324" w14:textId="2F7A1183"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693" w:type="dxa"/>
            <w:tcBorders>
              <w:left w:val="single" w:sz="2" w:space="0" w:color="A81C26"/>
            </w:tcBorders>
            <w:shd w:val="clear" w:color="auto" w:fill="auto"/>
          </w:tcPr>
          <w:p w14:paraId="76AFC1CD" w14:textId="0DC55D7E"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c>
          <w:tcPr>
            <w:tcW w:w="2388" w:type="dxa"/>
            <w:tcBorders>
              <w:left w:val="single" w:sz="2" w:space="0" w:color="A81C26"/>
            </w:tcBorders>
            <w:shd w:val="clear" w:color="auto" w:fill="auto"/>
          </w:tcPr>
          <w:p w14:paraId="4FAACF61" w14:textId="674B65A5" w:rsidR="00856EE3" w:rsidRDefault="00856EE3"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98115848"/>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198115849"/>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4EC2A591" w:rsidR="00FE3170" w:rsidRPr="00E53442" w:rsidRDefault="005A4F87" w:rsidP="00FE3170">
            <w:pPr>
              <w:spacing w:before="40" w:after="40" w:line="240" w:lineRule="auto"/>
              <w:jc w:val="right"/>
              <w:rPr>
                <w:rFonts w:ascii="Source Sans Pro" w:eastAsia="MS Mincho" w:hAnsi="Source Sans Pro" w:cs="Times New Roman"/>
                <w:color w:val="A21C26"/>
                <w:sz w:val="20"/>
                <w:szCs w:val="20"/>
              </w:rPr>
            </w:pPr>
            <w:r>
              <w:rPr>
                <w:rFonts w:eastAsia="MS Mincho" w:cs="Times New Roman"/>
                <w:color w:val="A81C26"/>
                <w:sz w:val="20"/>
                <w:szCs w:val="20"/>
              </w:rPr>
              <w:t>1/1/2025</w:t>
            </w: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16B44850"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4BFE988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377322AD"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1A6CA691"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3F33E6"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3874A86F" w:rsidR="00FE3170" w:rsidRPr="00D35734" w:rsidRDefault="000B1D2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35AC7F35"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$16,000</w:t>
            </w: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1C0A1B86"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$18,277</w:t>
            </w: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0C6D809"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$20,597</w:t>
            </w: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586BD7E4" w:rsidR="00FE3170" w:rsidRPr="00A91467" w:rsidRDefault="000B1D24"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$23,037</w:t>
            </w: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6EF6973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$25,599</w:t>
            </w: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50033835"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$28,159</w:t>
            </w: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FFE700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$30,711</w:t>
            </w: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5172C36F"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$33,491</w:t>
            </w: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3E89A509"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$36,478</w:t>
            </w: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6A63815A"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$39,678</w:t>
            </w: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6281E85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$42,878</w:t>
            </w: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6F9CB91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$46,235</w:t>
            </w: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98C68C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$49,918</w:t>
            </w: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2F34489C"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$53,758</w:t>
            </w: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57C4D003"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$57,827</w:t>
            </w: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231A6D94" w:rsidR="00FE3170" w:rsidRPr="00A91467" w:rsidRDefault="00EB32E1"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$62,261</w:t>
            </w: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C1DF03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$68,726</w:t>
            </w: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0BE44E3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$76,349</w:t>
            </w: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031DC4C"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$84,307</w:t>
            </w: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1BFD1027"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$92,597</w:t>
            </w: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32D04B6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$101,968</w:t>
            </w: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E813AD8"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$111,712</w:t>
            </w: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4DC5215D"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$122,619</w:t>
            </w: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19D08B42"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$133,942</w:t>
            </w: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4FF968D9"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$145,684</w:t>
            </w: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108FF65E"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$159,540</w:t>
            </w: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E1638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$173,026</w:t>
            </w: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4209CD5B"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$187,863</w:t>
            </w: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2694BBF"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$204,109</w:t>
            </w: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13558B16" w:rsidR="00FE3170" w:rsidRPr="00A91467" w:rsidRDefault="00BD6530"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$220,900</w:t>
            </w: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0DCA4625"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$238,235</w:t>
            </w: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103D445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$257,083</w:t>
            </w: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46E7D3BF"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$277,512</w:t>
            </w: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2956F924"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$298,566</w:t>
            </w: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334AB0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$321,284</w:t>
            </w: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05F82B07"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$344,668</w:t>
            </w: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50975F1B"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$368,720</w:t>
            </w: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1A19F1A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$394,538</w:t>
            </w: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395983EA"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$422,187</w:t>
            </w: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0613C986"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$450,586</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1A9B5BDE"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$480,898</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44A8FF7C" w:rsidR="00FE3170" w:rsidRPr="00A91467" w:rsidRDefault="00710A4C"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$512,002</w:t>
            </w: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4ACF9524" w:rsidR="00FE3170" w:rsidRPr="00A91467" w:rsidRDefault="00903F68"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w:t>
            </w:r>
            <w:r w:rsidR="00710A4C">
              <w:rPr>
                <w:rFonts w:ascii="Source Sans Pro" w:eastAsia="Times New Roman" w:hAnsi="Source Sans Pro" w:cs="Times New Roman"/>
                <w:color w:val="000000"/>
                <w:sz w:val="20"/>
                <w:szCs w:val="20"/>
                <w:lang w:eastAsia="en-AU"/>
              </w:rPr>
              <w:t>543,899</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505BC806"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$577,815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F662B4A"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$613,809</w:t>
            </w: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03A09114"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38BBC2F8" w:rsidR="00FE3170" w:rsidRPr="00A91467" w:rsidRDefault="00267DFA" w:rsidP="00FE3170">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0D1E9C18" w:rsidR="00A75705" w:rsidRPr="00A91467" w:rsidRDefault="00267DFA" w:rsidP="00A75705">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BD6B9B"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5177AA0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BD6B9B" w:rsidRDefault="00BD6B9B" w:rsidP="00BD6B9B">
            <w:pPr>
              <w:spacing w:before="40" w:after="40" w:line="240" w:lineRule="auto"/>
              <w:jc w:val="right"/>
              <w:rPr>
                <w:sz w:val="20"/>
                <w:szCs w:val="20"/>
              </w:rPr>
            </w:pPr>
          </w:p>
        </w:tc>
      </w:tr>
      <w:tr w:rsidR="00BD6B9B"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BD6B9B" w:rsidRPr="00D35734" w:rsidRDefault="00BD6B9B" w:rsidP="00BD6B9B">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6C2B95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BD6B9B" w:rsidRDefault="00BD6B9B" w:rsidP="00BD6B9B">
            <w:pPr>
              <w:spacing w:before="40" w:after="40" w:line="240" w:lineRule="auto"/>
              <w:jc w:val="right"/>
              <w:rPr>
                <w:sz w:val="20"/>
                <w:szCs w:val="20"/>
              </w:rPr>
            </w:pPr>
          </w:p>
        </w:tc>
      </w:tr>
      <w:tr w:rsidR="00BD6B9B"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274C2C0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BD6B9B" w:rsidRDefault="00BD6B9B" w:rsidP="00BD6B9B">
            <w:pPr>
              <w:spacing w:before="40" w:after="40" w:line="240" w:lineRule="auto"/>
              <w:jc w:val="right"/>
              <w:rPr>
                <w:sz w:val="20"/>
                <w:szCs w:val="20"/>
              </w:rPr>
            </w:pPr>
          </w:p>
        </w:tc>
      </w:tr>
      <w:tr w:rsidR="00BD6B9B"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3042971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BD6B9B" w:rsidRDefault="00BD6B9B" w:rsidP="00BD6B9B">
            <w:pPr>
              <w:spacing w:before="40" w:after="40" w:line="240" w:lineRule="auto"/>
              <w:jc w:val="right"/>
              <w:rPr>
                <w:sz w:val="20"/>
                <w:szCs w:val="20"/>
              </w:rPr>
            </w:pPr>
          </w:p>
        </w:tc>
      </w:tr>
      <w:tr w:rsidR="00BD6B9B"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05ABE35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BD6B9B" w:rsidRDefault="00BD6B9B" w:rsidP="00BD6B9B">
            <w:pPr>
              <w:spacing w:before="40" w:after="40" w:line="240" w:lineRule="auto"/>
              <w:jc w:val="right"/>
              <w:rPr>
                <w:sz w:val="20"/>
                <w:szCs w:val="20"/>
              </w:rPr>
            </w:pPr>
          </w:p>
        </w:tc>
      </w:tr>
      <w:tr w:rsidR="00BD6B9B"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2E3D561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BD6B9B" w:rsidRPr="00C55DED"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BD6B9B" w:rsidRDefault="00BD6B9B" w:rsidP="00BD6B9B">
            <w:pPr>
              <w:spacing w:before="40" w:after="40" w:line="240" w:lineRule="auto"/>
              <w:jc w:val="right"/>
              <w:rPr>
                <w:sz w:val="20"/>
                <w:szCs w:val="20"/>
              </w:rPr>
            </w:pPr>
          </w:p>
        </w:tc>
      </w:tr>
      <w:tr w:rsidR="00BD6B9B"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021CE09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BD6B9B" w:rsidRDefault="00BD6B9B" w:rsidP="00BD6B9B">
            <w:pPr>
              <w:spacing w:before="40" w:after="40" w:line="240" w:lineRule="auto"/>
              <w:jc w:val="right"/>
              <w:rPr>
                <w:sz w:val="20"/>
                <w:szCs w:val="20"/>
              </w:rPr>
            </w:pPr>
          </w:p>
        </w:tc>
      </w:tr>
      <w:tr w:rsidR="00BD6B9B"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28E0BCB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BD6B9B" w:rsidRDefault="00BD6B9B" w:rsidP="00BD6B9B">
            <w:pPr>
              <w:spacing w:before="40" w:after="40" w:line="240" w:lineRule="auto"/>
              <w:jc w:val="right"/>
              <w:rPr>
                <w:sz w:val="20"/>
                <w:szCs w:val="20"/>
              </w:rPr>
            </w:pPr>
          </w:p>
        </w:tc>
      </w:tr>
      <w:tr w:rsidR="00BD6B9B"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50B4E41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BD6B9B" w:rsidRDefault="00BD6B9B" w:rsidP="00BD6B9B">
            <w:pPr>
              <w:spacing w:before="40" w:after="40" w:line="240" w:lineRule="auto"/>
              <w:jc w:val="right"/>
              <w:rPr>
                <w:sz w:val="20"/>
                <w:szCs w:val="20"/>
              </w:rPr>
            </w:pPr>
          </w:p>
        </w:tc>
      </w:tr>
      <w:tr w:rsidR="00BD6B9B"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469E4F5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BD6B9B" w:rsidRDefault="00BD6B9B" w:rsidP="00BD6B9B">
            <w:pPr>
              <w:spacing w:before="40" w:after="40" w:line="240" w:lineRule="auto"/>
              <w:jc w:val="right"/>
              <w:rPr>
                <w:sz w:val="20"/>
                <w:szCs w:val="20"/>
              </w:rPr>
            </w:pPr>
          </w:p>
        </w:tc>
      </w:tr>
      <w:tr w:rsidR="00BD6B9B"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4257B84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BD6B9B" w:rsidRDefault="00BD6B9B" w:rsidP="00BD6B9B">
            <w:pPr>
              <w:spacing w:before="40" w:after="40" w:line="240" w:lineRule="auto"/>
              <w:jc w:val="right"/>
              <w:rPr>
                <w:sz w:val="20"/>
                <w:szCs w:val="20"/>
              </w:rPr>
            </w:pPr>
          </w:p>
        </w:tc>
      </w:tr>
      <w:tr w:rsidR="00BD6B9B"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3A44F0D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BD6B9B" w:rsidRDefault="00BD6B9B" w:rsidP="00BD6B9B">
            <w:pPr>
              <w:spacing w:before="40" w:after="40" w:line="240" w:lineRule="auto"/>
              <w:jc w:val="right"/>
              <w:rPr>
                <w:sz w:val="20"/>
                <w:szCs w:val="20"/>
              </w:rPr>
            </w:pPr>
          </w:p>
        </w:tc>
      </w:tr>
      <w:tr w:rsidR="00BD6B9B"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01D8C77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BD6B9B" w:rsidRDefault="00BD6B9B" w:rsidP="00BD6B9B">
            <w:pPr>
              <w:spacing w:before="40" w:after="40" w:line="240" w:lineRule="auto"/>
              <w:jc w:val="right"/>
              <w:rPr>
                <w:sz w:val="20"/>
                <w:szCs w:val="20"/>
              </w:rPr>
            </w:pPr>
          </w:p>
        </w:tc>
      </w:tr>
      <w:tr w:rsidR="00BD6B9B"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4690C2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BD6B9B" w:rsidRDefault="00BD6B9B" w:rsidP="00BD6B9B">
            <w:pPr>
              <w:spacing w:before="40" w:after="40" w:line="240" w:lineRule="auto"/>
              <w:jc w:val="right"/>
              <w:rPr>
                <w:sz w:val="20"/>
                <w:szCs w:val="20"/>
              </w:rPr>
            </w:pPr>
          </w:p>
        </w:tc>
      </w:tr>
      <w:tr w:rsidR="00BD6B9B"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D03170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BD6B9B" w:rsidRDefault="00BD6B9B" w:rsidP="00BD6B9B">
            <w:pPr>
              <w:spacing w:before="40" w:after="40" w:line="240" w:lineRule="auto"/>
              <w:jc w:val="right"/>
              <w:rPr>
                <w:sz w:val="20"/>
                <w:szCs w:val="20"/>
              </w:rPr>
            </w:pPr>
          </w:p>
        </w:tc>
      </w:tr>
      <w:tr w:rsidR="00BD6B9B"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A97F5A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BD6B9B" w:rsidRDefault="00BD6B9B" w:rsidP="00BD6B9B">
            <w:pPr>
              <w:spacing w:before="40" w:after="40" w:line="240" w:lineRule="auto"/>
              <w:jc w:val="right"/>
              <w:rPr>
                <w:sz w:val="20"/>
                <w:szCs w:val="20"/>
              </w:rPr>
            </w:pPr>
          </w:p>
        </w:tc>
      </w:tr>
      <w:tr w:rsidR="00BD6B9B"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32B8273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BD6B9B" w:rsidRDefault="00BD6B9B" w:rsidP="00BD6B9B">
            <w:pPr>
              <w:spacing w:before="40" w:after="40" w:line="240" w:lineRule="auto"/>
              <w:jc w:val="right"/>
              <w:rPr>
                <w:sz w:val="20"/>
                <w:szCs w:val="20"/>
              </w:rPr>
            </w:pPr>
          </w:p>
        </w:tc>
      </w:tr>
      <w:tr w:rsidR="00BD6B9B"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5DC451B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BD6B9B" w:rsidRDefault="00BD6B9B" w:rsidP="00BD6B9B">
            <w:pPr>
              <w:spacing w:before="40" w:after="40" w:line="240" w:lineRule="auto"/>
              <w:jc w:val="right"/>
              <w:rPr>
                <w:sz w:val="20"/>
                <w:szCs w:val="20"/>
              </w:rPr>
            </w:pPr>
          </w:p>
        </w:tc>
      </w:tr>
      <w:tr w:rsidR="00BD6B9B"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4F7F242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BD6B9B" w:rsidRDefault="00BD6B9B" w:rsidP="00BD6B9B">
            <w:pPr>
              <w:spacing w:before="40" w:after="40" w:line="240" w:lineRule="auto"/>
              <w:jc w:val="right"/>
              <w:rPr>
                <w:sz w:val="20"/>
                <w:szCs w:val="20"/>
              </w:rPr>
            </w:pPr>
          </w:p>
        </w:tc>
      </w:tr>
      <w:tr w:rsidR="00BD6B9B"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5B99F99A"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BD6B9B" w:rsidRDefault="00BD6B9B" w:rsidP="00BD6B9B">
            <w:pPr>
              <w:spacing w:before="40" w:after="40" w:line="240" w:lineRule="auto"/>
              <w:jc w:val="right"/>
              <w:rPr>
                <w:sz w:val="20"/>
                <w:szCs w:val="20"/>
              </w:rPr>
            </w:pPr>
          </w:p>
        </w:tc>
      </w:tr>
      <w:tr w:rsidR="00BD6B9B"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3D096D3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BD6B9B" w:rsidRDefault="00BD6B9B" w:rsidP="00BD6B9B">
            <w:pPr>
              <w:spacing w:before="40" w:after="40" w:line="240" w:lineRule="auto"/>
              <w:jc w:val="right"/>
              <w:rPr>
                <w:sz w:val="20"/>
                <w:szCs w:val="20"/>
              </w:rPr>
            </w:pPr>
          </w:p>
        </w:tc>
      </w:tr>
      <w:tr w:rsidR="00BD6B9B"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2DAF18B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BD6B9B" w:rsidRDefault="00BD6B9B" w:rsidP="00BD6B9B">
            <w:pPr>
              <w:spacing w:before="40" w:after="40" w:line="240" w:lineRule="auto"/>
              <w:jc w:val="right"/>
              <w:rPr>
                <w:sz w:val="20"/>
                <w:szCs w:val="20"/>
              </w:rPr>
            </w:pPr>
          </w:p>
        </w:tc>
      </w:tr>
      <w:tr w:rsidR="00BD6B9B"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3154007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BD6B9B" w:rsidRDefault="00BD6B9B" w:rsidP="00BD6B9B">
            <w:pPr>
              <w:spacing w:before="40" w:after="40" w:line="240" w:lineRule="auto"/>
              <w:jc w:val="right"/>
              <w:rPr>
                <w:sz w:val="20"/>
                <w:szCs w:val="20"/>
              </w:rPr>
            </w:pPr>
          </w:p>
        </w:tc>
      </w:tr>
      <w:tr w:rsidR="00BD6B9B"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EA3BDB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BD6B9B" w:rsidRDefault="00BD6B9B" w:rsidP="00BD6B9B">
            <w:pPr>
              <w:spacing w:before="40" w:after="40" w:line="240" w:lineRule="auto"/>
              <w:jc w:val="right"/>
              <w:rPr>
                <w:sz w:val="20"/>
                <w:szCs w:val="20"/>
              </w:rPr>
            </w:pPr>
          </w:p>
        </w:tc>
      </w:tr>
      <w:tr w:rsidR="00BD6B9B"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6AB1C41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BD6B9B" w:rsidRDefault="00BD6B9B" w:rsidP="00BD6B9B">
            <w:pPr>
              <w:spacing w:before="40" w:after="40" w:line="240" w:lineRule="auto"/>
              <w:jc w:val="right"/>
              <w:rPr>
                <w:sz w:val="20"/>
                <w:szCs w:val="20"/>
              </w:rPr>
            </w:pPr>
          </w:p>
        </w:tc>
      </w:tr>
      <w:tr w:rsidR="00BD6B9B"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40BC593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BD6B9B" w:rsidRDefault="00BD6B9B" w:rsidP="00BD6B9B">
            <w:pPr>
              <w:spacing w:before="40" w:after="40" w:line="240" w:lineRule="auto"/>
              <w:jc w:val="right"/>
              <w:rPr>
                <w:sz w:val="20"/>
                <w:szCs w:val="20"/>
              </w:rPr>
            </w:pPr>
          </w:p>
        </w:tc>
      </w:tr>
      <w:tr w:rsidR="00BD6B9B"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14B81317"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BD6B9B" w:rsidRDefault="00BD6B9B" w:rsidP="00BD6B9B">
            <w:pPr>
              <w:spacing w:before="40" w:after="40" w:line="240" w:lineRule="auto"/>
              <w:jc w:val="right"/>
              <w:rPr>
                <w:sz w:val="20"/>
                <w:szCs w:val="20"/>
              </w:rPr>
            </w:pPr>
          </w:p>
        </w:tc>
      </w:tr>
      <w:tr w:rsidR="00BD6B9B"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4C106F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BD6B9B" w:rsidRDefault="00BD6B9B" w:rsidP="00BD6B9B">
            <w:pPr>
              <w:spacing w:before="40" w:after="40" w:line="240" w:lineRule="auto"/>
              <w:jc w:val="right"/>
              <w:rPr>
                <w:sz w:val="20"/>
                <w:szCs w:val="20"/>
              </w:rPr>
            </w:pPr>
          </w:p>
        </w:tc>
      </w:tr>
      <w:tr w:rsidR="00BD6B9B"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2C35E32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BD6B9B" w:rsidRDefault="00BD6B9B" w:rsidP="00BD6B9B">
            <w:pPr>
              <w:spacing w:before="40" w:after="40" w:line="240" w:lineRule="auto"/>
              <w:jc w:val="right"/>
              <w:rPr>
                <w:sz w:val="20"/>
                <w:szCs w:val="20"/>
              </w:rPr>
            </w:pPr>
          </w:p>
        </w:tc>
      </w:tr>
      <w:tr w:rsidR="00BD6B9B"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2A579DA4"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BD6B9B" w:rsidRDefault="00BD6B9B" w:rsidP="00BD6B9B">
            <w:pPr>
              <w:spacing w:before="40" w:after="40" w:line="240" w:lineRule="auto"/>
              <w:jc w:val="right"/>
              <w:rPr>
                <w:sz w:val="20"/>
                <w:szCs w:val="20"/>
              </w:rPr>
            </w:pPr>
          </w:p>
        </w:tc>
      </w:tr>
      <w:tr w:rsidR="00BD6B9B"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E4773F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BD6B9B" w:rsidRDefault="00BD6B9B" w:rsidP="00BD6B9B">
            <w:pPr>
              <w:spacing w:before="40" w:after="40" w:line="240" w:lineRule="auto"/>
              <w:jc w:val="right"/>
              <w:rPr>
                <w:sz w:val="20"/>
                <w:szCs w:val="20"/>
              </w:rPr>
            </w:pPr>
          </w:p>
        </w:tc>
      </w:tr>
      <w:tr w:rsidR="00BD6B9B"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1637DCD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BD6B9B" w:rsidRDefault="00BD6B9B" w:rsidP="00BD6B9B">
            <w:pPr>
              <w:spacing w:before="40" w:after="40" w:line="240" w:lineRule="auto"/>
              <w:jc w:val="right"/>
              <w:rPr>
                <w:sz w:val="20"/>
                <w:szCs w:val="20"/>
              </w:rPr>
            </w:pPr>
          </w:p>
        </w:tc>
      </w:tr>
      <w:tr w:rsidR="00BD6B9B"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81EDF9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BD6B9B" w:rsidRDefault="00BD6B9B" w:rsidP="00BD6B9B">
            <w:pPr>
              <w:spacing w:before="40" w:after="40" w:line="240" w:lineRule="auto"/>
              <w:jc w:val="right"/>
              <w:rPr>
                <w:sz w:val="20"/>
                <w:szCs w:val="20"/>
              </w:rPr>
            </w:pPr>
          </w:p>
        </w:tc>
      </w:tr>
      <w:tr w:rsidR="00BD6B9B"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5373ACD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BD6B9B" w:rsidRDefault="00BD6B9B" w:rsidP="00BD6B9B">
            <w:pPr>
              <w:spacing w:before="40" w:after="40" w:line="240" w:lineRule="auto"/>
              <w:jc w:val="right"/>
              <w:rPr>
                <w:sz w:val="20"/>
                <w:szCs w:val="20"/>
              </w:rPr>
            </w:pPr>
          </w:p>
        </w:tc>
      </w:tr>
      <w:tr w:rsidR="00BD6B9B"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17BBAFC5"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BD6B9B" w:rsidRDefault="00BD6B9B" w:rsidP="00BD6B9B">
            <w:pPr>
              <w:spacing w:before="40" w:after="40" w:line="240" w:lineRule="auto"/>
              <w:jc w:val="right"/>
              <w:rPr>
                <w:sz w:val="20"/>
                <w:szCs w:val="20"/>
              </w:rPr>
            </w:pPr>
          </w:p>
        </w:tc>
      </w:tr>
      <w:tr w:rsidR="00BD6B9B"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1652DA5B"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BD6B9B" w:rsidRDefault="00BD6B9B" w:rsidP="00BD6B9B">
            <w:pPr>
              <w:spacing w:before="40" w:after="40" w:line="240" w:lineRule="auto"/>
              <w:jc w:val="right"/>
              <w:rPr>
                <w:sz w:val="20"/>
                <w:szCs w:val="20"/>
              </w:rPr>
            </w:pPr>
          </w:p>
        </w:tc>
      </w:tr>
      <w:tr w:rsidR="00BD6B9B"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038F9AF9"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BD6B9B" w:rsidRDefault="00BD6B9B" w:rsidP="00BD6B9B">
            <w:pPr>
              <w:spacing w:before="40" w:after="40" w:line="240" w:lineRule="auto"/>
              <w:jc w:val="right"/>
              <w:rPr>
                <w:sz w:val="20"/>
                <w:szCs w:val="20"/>
              </w:rPr>
            </w:pPr>
          </w:p>
        </w:tc>
      </w:tr>
      <w:tr w:rsidR="00BD6B9B"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3738E1A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BD6B9B" w:rsidRDefault="00BD6B9B" w:rsidP="00BD6B9B">
            <w:pPr>
              <w:spacing w:before="40" w:after="40" w:line="240" w:lineRule="auto"/>
              <w:jc w:val="right"/>
              <w:rPr>
                <w:sz w:val="20"/>
                <w:szCs w:val="20"/>
              </w:rPr>
            </w:pPr>
          </w:p>
        </w:tc>
      </w:tr>
      <w:tr w:rsidR="00BD6B9B"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1C34A68C"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BD6B9B" w:rsidRDefault="00BD6B9B" w:rsidP="00BD6B9B">
            <w:pPr>
              <w:spacing w:before="40" w:after="40" w:line="240" w:lineRule="auto"/>
              <w:jc w:val="right"/>
              <w:rPr>
                <w:sz w:val="20"/>
                <w:szCs w:val="20"/>
              </w:rPr>
            </w:pPr>
          </w:p>
        </w:tc>
      </w:tr>
      <w:tr w:rsidR="00BD6B9B"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2AE60028"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BD6B9B" w:rsidRDefault="00BD6B9B" w:rsidP="00BD6B9B">
            <w:pPr>
              <w:spacing w:before="40" w:after="40" w:line="240" w:lineRule="auto"/>
              <w:jc w:val="right"/>
              <w:rPr>
                <w:sz w:val="20"/>
                <w:szCs w:val="20"/>
              </w:rPr>
            </w:pPr>
          </w:p>
        </w:tc>
      </w:tr>
      <w:tr w:rsidR="00BD6B9B"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54A0DA51"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BD6B9B" w:rsidRDefault="00BD6B9B" w:rsidP="00BD6B9B">
            <w:pPr>
              <w:spacing w:before="40" w:after="40" w:line="240" w:lineRule="auto"/>
              <w:jc w:val="right"/>
              <w:rPr>
                <w:sz w:val="20"/>
                <w:szCs w:val="20"/>
              </w:rPr>
            </w:pPr>
          </w:p>
        </w:tc>
      </w:tr>
      <w:tr w:rsidR="00BD6B9B"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39E442D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BD6B9B" w:rsidRDefault="00BD6B9B" w:rsidP="00BD6B9B">
            <w:pPr>
              <w:spacing w:before="40" w:after="40" w:line="240" w:lineRule="auto"/>
              <w:jc w:val="right"/>
              <w:rPr>
                <w:sz w:val="20"/>
                <w:szCs w:val="20"/>
              </w:rPr>
            </w:pPr>
          </w:p>
        </w:tc>
      </w:tr>
      <w:tr w:rsidR="00BD6B9B"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0262B1FE"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BD6B9B" w:rsidRDefault="00BD6B9B" w:rsidP="00BD6B9B">
            <w:pPr>
              <w:spacing w:before="40" w:after="40" w:line="240" w:lineRule="auto"/>
              <w:jc w:val="right"/>
              <w:rPr>
                <w:sz w:val="20"/>
                <w:szCs w:val="20"/>
              </w:rPr>
            </w:pPr>
          </w:p>
        </w:tc>
      </w:tr>
      <w:tr w:rsidR="00BD6B9B"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1F530690"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BD6B9B" w:rsidRDefault="00BD6B9B" w:rsidP="00BD6B9B">
            <w:pPr>
              <w:spacing w:before="40" w:after="40" w:line="240" w:lineRule="auto"/>
              <w:jc w:val="right"/>
              <w:rPr>
                <w:sz w:val="20"/>
                <w:szCs w:val="20"/>
              </w:rPr>
            </w:pPr>
          </w:p>
        </w:tc>
      </w:tr>
      <w:tr w:rsidR="00BD6B9B"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4F2F7903"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BD6B9B" w:rsidRDefault="00BD6B9B" w:rsidP="00BD6B9B">
            <w:pPr>
              <w:spacing w:before="40" w:after="40" w:line="240" w:lineRule="auto"/>
              <w:jc w:val="right"/>
              <w:rPr>
                <w:sz w:val="20"/>
                <w:szCs w:val="20"/>
              </w:rPr>
            </w:pPr>
          </w:p>
        </w:tc>
      </w:tr>
      <w:tr w:rsidR="00BD6B9B"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6B42497F"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BD6B9B" w:rsidRDefault="00BD6B9B" w:rsidP="00BD6B9B">
            <w:pPr>
              <w:spacing w:before="40" w:after="40" w:line="240" w:lineRule="auto"/>
              <w:jc w:val="right"/>
              <w:rPr>
                <w:sz w:val="20"/>
                <w:szCs w:val="20"/>
              </w:rPr>
            </w:pPr>
          </w:p>
        </w:tc>
      </w:tr>
      <w:tr w:rsidR="00BD6B9B"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690A6C12"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BD6B9B" w:rsidRPr="00C45D86"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BD6B9B" w:rsidRDefault="00BD6B9B" w:rsidP="00BD6B9B">
            <w:pPr>
              <w:spacing w:before="40" w:after="40" w:line="240" w:lineRule="auto"/>
              <w:jc w:val="right"/>
              <w:rPr>
                <w:sz w:val="20"/>
                <w:szCs w:val="20"/>
              </w:rPr>
            </w:pPr>
          </w:p>
        </w:tc>
      </w:tr>
      <w:tr w:rsidR="00BD6B9B"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BD6B9B" w:rsidRDefault="00BD6B9B" w:rsidP="00BD6B9B">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BD6B9B" w:rsidRPr="00C2705D" w:rsidRDefault="00BD6B9B" w:rsidP="00BD6B9B">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BD6B9B" w:rsidRPr="00D35734" w:rsidRDefault="00BD6B9B" w:rsidP="00BD6B9B">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4FE0CDC6" w:rsidR="00BD6B9B" w:rsidRPr="00A91467" w:rsidRDefault="00BD6B9B" w:rsidP="00BD6B9B">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$639,955</w:t>
            </w: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BD6B9B" w:rsidRPr="00467050"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BD6B9B" w:rsidRPr="006A30A3" w:rsidRDefault="00BD6B9B" w:rsidP="00BD6B9B">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BD6B9B" w:rsidRPr="006A30A3" w:rsidRDefault="00BD6B9B" w:rsidP="00BD6B9B">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BD6B9B" w:rsidRDefault="00BD6B9B" w:rsidP="00BD6B9B">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BD6B9B" w:rsidRDefault="00BD6B9B" w:rsidP="00BD6B9B">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98115850"/>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r w:rsidR="00BD6B9B" w:rsidRPr="00230F0B" w14:paraId="063AF432" w14:textId="77777777" w:rsidTr="00A305E0">
        <w:tc>
          <w:tcPr>
            <w:tcW w:w="2410" w:type="dxa"/>
            <w:tcBorders>
              <w:right w:val="single" w:sz="2" w:space="0" w:color="A81C26"/>
            </w:tcBorders>
            <w:shd w:val="clear" w:color="auto" w:fill="auto"/>
          </w:tcPr>
          <w:p w14:paraId="13D0AE0C" w14:textId="705AB585" w:rsidR="00BD6B9B" w:rsidRDefault="00BD6B9B"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77" w:type="dxa"/>
            <w:tcBorders>
              <w:left w:val="single" w:sz="2" w:space="0" w:color="A81C26"/>
            </w:tcBorders>
            <w:shd w:val="clear" w:color="auto" w:fill="auto"/>
          </w:tcPr>
          <w:p w14:paraId="47B1ACB2" w14:textId="2104440F" w:rsidR="00BD6B9B" w:rsidRDefault="00BD6B9B" w:rsidP="001B5504">
            <w:pPr>
              <w:spacing w:before="60" w:after="60" w:line="240" w:lineRule="auto"/>
              <w:jc w:val="left"/>
              <w:rPr>
                <w:sz w:val="20"/>
                <w:szCs w:val="20"/>
              </w:rPr>
            </w:pPr>
            <w:r>
              <w:rPr>
                <w:sz w:val="20"/>
                <w:szCs w:val="20"/>
              </w:rPr>
              <w:t>$639,955</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98115851"/>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r w:rsidR="00C24FDE" w:rsidRPr="00230F0B" w14:paraId="41446B93" w14:textId="77777777" w:rsidTr="00A305E0">
        <w:tc>
          <w:tcPr>
            <w:tcW w:w="2410" w:type="dxa"/>
            <w:tcBorders>
              <w:right w:val="single" w:sz="2" w:space="0" w:color="A81C26"/>
            </w:tcBorders>
            <w:shd w:val="clear" w:color="auto" w:fill="auto"/>
          </w:tcPr>
          <w:p w14:paraId="6604E41A" w14:textId="6E28185D" w:rsidR="00C24FDE" w:rsidRDefault="00C24FDE"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229" w:type="dxa"/>
            <w:tcBorders>
              <w:left w:val="single" w:sz="2" w:space="0" w:color="A81C26"/>
            </w:tcBorders>
            <w:shd w:val="clear" w:color="auto" w:fill="auto"/>
          </w:tcPr>
          <w:p w14:paraId="64AFA471" w14:textId="22E35464" w:rsidR="00C24FDE" w:rsidRDefault="00C24FDE"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$13,506</w:t>
            </w:r>
          </w:p>
        </w:tc>
      </w:tr>
    </w:tbl>
    <w:p w14:paraId="6981FC4F"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98115852"/>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 xml:space="preserve">about the consequences of </w:t>
            </w:r>
            <w:proofErr w:type="gramStart"/>
            <w:r w:rsidRPr="00A305E0">
              <w:rPr>
                <w:rFonts w:ascii="Source Sans Pro" w:eastAsia="MS Mincho" w:hAnsi="Source Sans Pro" w:cs="Times New Roman"/>
                <w:sz w:val="20"/>
                <w:szCs w:val="20"/>
              </w:rPr>
              <w:t>entering into</w:t>
            </w:r>
            <w:proofErr w:type="gramEnd"/>
            <w:r w:rsidRPr="00A305E0">
              <w:rPr>
                <w:rFonts w:ascii="Source Sans Pro" w:eastAsia="MS Mincho" w:hAnsi="Source Sans Pro" w:cs="Times New Roman"/>
                <w:sz w:val="20"/>
                <w:szCs w:val="20"/>
              </w:rPr>
              <w:t xml:space="preserve">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r w:rsidR="00C24FDE" w:rsidRPr="00230F0B" w14:paraId="4EA84561" w14:textId="77777777" w:rsidTr="00A305E0">
        <w:trPr>
          <w:cantSplit/>
        </w:trPr>
        <w:tc>
          <w:tcPr>
            <w:tcW w:w="2410" w:type="dxa"/>
            <w:tcBorders>
              <w:right w:val="single" w:sz="2" w:space="0" w:color="A81C26"/>
            </w:tcBorders>
            <w:shd w:val="clear" w:color="auto" w:fill="auto"/>
          </w:tcPr>
          <w:p w14:paraId="31738D86" w14:textId="700404D9" w:rsidR="00C24FDE" w:rsidRDefault="00C24FDE"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686" w:type="dxa"/>
            <w:tcBorders>
              <w:left w:val="single" w:sz="2" w:space="0" w:color="A81C26"/>
              <w:right w:val="single" w:sz="2" w:space="0" w:color="A81C26"/>
            </w:tcBorders>
            <w:shd w:val="clear" w:color="auto" w:fill="auto"/>
          </w:tcPr>
          <w:p w14:paraId="39090ECB" w14:textId="24F5666E" w:rsidR="00C24FDE" w:rsidRDefault="00C24FD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574DEB">
              <w:rPr>
                <w:rFonts w:ascii="Source Sans Pro" w:eastAsia="MS Mincho" w:hAnsi="Source Sans Pro" w:cs="Times New Roman"/>
                <w:sz w:val="20"/>
                <w:szCs w:val="20"/>
              </w:rPr>
              <w:t>1,195</w:t>
            </w:r>
          </w:p>
        </w:tc>
        <w:tc>
          <w:tcPr>
            <w:tcW w:w="3504" w:type="dxa"/>
            <w:tcBorders>
              <w:left w:val="single" w:sz="2" w:space="0" w:color="A81C26"/>
            </w:tcBorders>
            <w:shd w:val="clear" w:color="auto" w:fill="auto"/>
          </w:tcPr>
          <w:p w14:paraId="2B8955AB" w14:textId="66AB5AAD" w:rsidR="00C24FDE" w:rsidRDefault="00574DE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$1,195</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98115853"/>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r w:rsidR="00574DEB" w:rsidRPr="00230F0B" w14:paraId="0BD06E31" w14:textId="77777777" w:rsidTr="00244CBE">
        <w:tc>
          <w:tcPr>
            <w:tcW w:w="2410" w:type="dxa"/>
            <w:tcBorders>
              <w:right w:val="single" w:sz="2" w:space="0" w:color="A81C26"/>
            </w:tcBorders>
            <w:shd w:val="clear" w:color="auto" w:fill="auto"/>
          </w:tcPr>
          <w:p w14:paraId="21543BAB" w14:textId="696F07E7" w:rsidR="00574DEB" w:rsidRDefault="00574DEB"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731" w:type="dxa"/>
            <w:tcBorders>
              <w:left w:val="single" w:sz="2" w:space="0" w:color="A81C26"/>
            </w:tcBorders>
            <w:shd w:val="clear" w:color="auto" w:fill="auto"/>
          </w:tcPr>
          <w:p w14:paraId="3781DB8C" w14:textId="158FEC48" w:rsidR="00574DEB" w:rsidRDefault="00574DE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$88,943</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98115854"/>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r w:rsidR="00574DEB" w:rsidRPr="00230F0B" w14:paraId="556EAE57" w14:textId="77777777" w:rsidTr="00283D75">
        <w:tc>
          <w:tcPr>
            <w:tcW w:w="2422" w:type="dxa"/>
            <w:tcBorders>
              <w:right w:val="single" w:sz="2" w:space="0" w:color="A81C26"/>
            </w:tcBorders>
            <w:shd w:val="clear" w:color="auto" w:fill="auto"/>
          </w:tcPr>
          <w:p w14:paraId="0DABFA23" w14:textId="1E867AB4" w:rsidR="00574DEB" w:rsidRDefault="00574D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3" w:type="dxa"/>
            <w:tcBorders>
              <w:left w:val="single" w:sz="2" w:space="0" w:color="A81C26"/>
            </w:tcBorders>
            <w:shd w:val="clear" w:color="auto" w:fill="auto"/>
          </w:tcPr>
          <w:p w14:paraId="19A7CCF6" w14:textId="1B04783A" w:rsidR="00574DEB" w:rsidRDefault="00574D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$1,195</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98115855"/>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r w:rsidR="00574DEB" w:rsidRPr="00E94231" w14:paraId="55C1A05D" w14:textId="77777777" w:rsidTr="00CD4983">
        <w:tc>
          <w:tcPr>
            <w:tcW w:w="2422" w:type="dxa"/>
            <w:tcBorders>
              <w:right w:val="single" w:sz="2" w:space="0" w:color="A81C26"/>
            </w:tcBorders>
            <w:shd w:val="clear" w:color="auto" w:fill="auto"/>
          </w:tcPr>
          <w:p w14:paraId="3E818534" w14:textId="14DE206B" w:rsidR="00574DEB" w:rsidRDefault="00574D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2540" w:type="dxa"/>
            <w:tcBorders>
              <w:left w:val="single" w:sz="2" w:space="0" w:color="A81C26"/>
              <w:right w:val="single" w:sz="2" w:space="0" w:color="A81C26"/>
            </w:tcBorders>
            <w:shd w:val="clear" w:color="auto" w:fill="auto"/>
            <w:vAlign w:val="center"/>
          </w:tcPr>
          <w:p w14:paraId="09E00192" w14:textId="199ADC9A" w:rsidR="00574DEB" w:rsidRDefault="00574DE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c>
          <w:tcPr>
            <w:tcW w:w="1701" w:type="dxa"/>
            <w:tcBorders>
              <w:left w:val="single" w:sz="2" w:space="0" w:color="A81C26"/>
              <w:right w:val="single" w:sz="2" w:space="0" w:color="A81C26"/>
            </w:tcBorders>
            <w:shd w:val="clear" w:color="auto" w:fill="auto"/>
            <w:vAlign w:val="center"/>
          </w:tcPr>
          <w:p w14:paraId="71A9042B" w14:textId="623342A7" w:rsidR="00574DEB" w:rsidRDefault="00574DE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$990</w:t>
            </w:r>
          </w:p>
        </w:tc>
        <w:tc>
          <w:tcPr>
            <w:tcW w:w="2937" w:type="dxa"/>
            <w:tcBorders>
              <w:left w:val="single" w:sz="2" w:space="0" w:color="A81C26"/>
            </w:tcBorders>
            <w:shd w:val="clear" w:color="auto" w:fill="auto"/>
            <w:vAlign w:val="center"/>
          </w:tcPr>
          <w:p w14:paraId="7C11E66B" w14:textId="0ACA792A" w:rsidR="00574DEB" w:rsidRDefault="00574DE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$3,272</w:t>
            </w:r>
          </w:p>
        </w:tc>
      </w:tr>
    </w:tbl>
    <w:p w14:paraId="1F5CFFC1" w14:textId="77777777" w:rsidR="006B50CD" w:rsidRPr="00A52709" w:rsidRDefault="006B50CD" w:rsidP="003B2902">
      <w:pPr>
        <w:pStyle w:val="Heading1"/>
      </w:pPr>
      <w:bookmarkStart w:id="79" w:name="_Toc413756008"/>
      <w:bookmarkStart w:id="80" w:name="_Toc141257475"/>
      <w:bookmarkStart w:id="81" w:name="_Toc198115856"/>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Preparation </w:t>
            </w:r>
            <w:proofErr w:type="gramStart"/>
            <w:r w:rsidRPr="00AD1005">
              <w:rPr>
                <w:rFonts w:ascii="Source Sans Pro" w:eastAsia="MS Mincho" w:hAnsi="Source Sans Pro" w:cs="Times New Roman"/>
                <w:sz w:val="20"/>
                <w:szCs w:val="20"/>
                <w:lang w:val="en-US" w:eastAsia="en-AU"/>
              </w:rPr>
              <w:t>of</w:t>
            </w:r>
            <w:proofErr w:type="gramEnd"/>
            <w:r w:rsidRPr="00AD1005">
              <w:rPr>
                <w:rFonts w:ascii="Source Sans Pro" w:eastAsia="MS Mincho" w:hAnsi="Source Sans Pro" w:cs="Times New Roman"/>
                <w:sz w:val="20"/>
                <w:szCs w:val="20"/>
                <w:lang w:val="en-US" w:eastAsia="en-AU"/>
              </w:rPr>
              <w:t xml:space="preserve">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574DEB" w:rsidRPr="00A52709" w14:paraId="3C9D197C" w14:textId="77777777" w:rsidTr="00DA4C9B">
        <w:trPr>
          <w:cantSplit/>
          <w:trHeight w:val="270"/>
        </w:trPr>
        <w:tc>
          <w:tcPr>
            <w:tcW w:w="2412" w:type="dxa"/>
            <w:tcBorders>
              <w:right w:val="single" w:sz="2" w:space="0" w:color="A81C26"/>
            </w:tcBorders>
            <w:shd w:val="clear" w:color="auto" w:fill="auto"/>
          </w:tcPr>
          <w:p w14:paraId="46D923E4" w14:textId="2AD6079E" w:rsidR="00574DEB" w:rsidRDefault="00574DE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3368" w:type="dxa"/>
            <w:gridSpan w:val="2"/>
            <w:tcBorders>
              <w:left w:val="single" w:sz="2" w:space="0" w:color="A81C26"/>
              <w:right w:val="single" w:sz="2" w:space="0" w:color="A81C26"/>
            </w:tcBorders>
            <w:shd w:val="clear" w:color="auto" w:fill="auto"/>
            <w:vAlign w:val="center"/>
          </w:tcPr>
          <w:p w14:paraId="1342C0EA" w14:textId="1DE19CA4"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$184</w:t>
            </w:r>
          </w:p>
        </w:tc>
        <w:tc>
          <w:tcPr>
            <w:tcW w:w="3820" w:type="dxa"/>
            <w:gridSpan w:val="2"/>
            <w:tcBorders>
              <w:left w:val="single" w:sz="2" w:space="0" w:color="A81C26"/>
            </w:tcBorders>
            <w:shd w:val="clear" w:color="auto" w:fill="auto"/>
            <w:vAlign w:val="center"/>
          </w:tcPr>
          <w:p w14:paraId="02EF97BF" w14:textId="4C9A68B5" w:rsidR="00574DEB" w:rsidRDefault="00574DE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6E5670">
              <w:rPr>
                <w:rFonts w:ascii="Source Sans Pro" w:eastAsia="Times New Roman" w:hAnsi="Source Sans Pro" w:cs="Arial"/>
                <w:sz w:val="20"/>
                <w:szCs w:val="20"/>
                <w:lang w:eastAsia="en-AU"/>
              </w:rPr>
              <w:t>352</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r w:rsidR="006E5670" w:rsidRPr="00AD1005" w14:paraId="4536E00A" w14:textId="77777777" w:rsidTr="0043255D">
        <w:trPr>
          <w:cantSplit/>
          <w:trHeight w:val="270"/>
        </w:trPr>
        <w:tc>
          <w:tcPr>
            <w:tcW w:w="2412" w:type="dxa"/>
            <w:tcBorders>
              <w:right w:val="single" w:sz="2" w:space="0" w:color="A81C26"/>
            </w:tcBorders>
            <w:shd w:val="clear" w:color="auto" w:fill="auto"/>
          </w:tcPr>
          <w:p w14:paraId="6E4A99C0" w14:textId="058E3494" w:rsidR="006E5670" w:rsidRDefault="006E5670"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1557" w:type="dxa"/>
            <w:tcBorders>
              <w:left w:val="single" w:sz="2" w:space="0" w:color="A81C26"/>
              <w:right w:val="single" w:sz="2" w:space="0" w:color="A81C26"/>
            </w:tcBorders>
            <w:shd w:val="clear" w:color="auto" w:fill="auto"/>
            <w:vAlign w:val="center"/>
          </w:tcPr>
          <w:p w14:paraId="3EF9588E" w14:textId="7E46FED1"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$230</w:t>
            </w:r>
          </w:p>
        </w:tc>
        <w:tc>
          <w:tcPr>
            <w:tcW w:w="1811" w:type="dxa"/>
            <w:tcBorders>
              <w:left w:val="single" w:sz="2" w:space="0" w:color="A81C26"/>
              <w:right w:val="single" w:sz="2" w:space="0" w:color="A81C26"/>
            </w:tcBorders>
            <w:shd w:val="clear" w:color="auto" w:fill="auto"/>
            <w:vAlign w:val="center"/>
          </w:tcPr>
          <w:p w14:paraId="7EC71886" w14:textId="5079884E"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$139</w:t>
            </w:r>
          </w:p>
        </w:tc>
        <w:tc>
          <w:tcPr>
            <w:tcW w:w="1733" w:type="dxa"/>
            <w:tcBorders>
              <w:left w:val="single" w:sz="2" w:space="0" w:color="A81C26"/>
              <w:right w:val="single" w:sz="2" w:space="0" w:color="A81C26"/>
            </w:tcBorders>
            <w:shd w:val="clear" w:color="auto" w:fill="auto"/>
            <w:vAlign w:val="center"/>
          </w:tcPr>
          <w:p w14:paraId="3704BDD3" w14:textId="1AEC9ADC"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$78</w:t>
            </w:r>
          </w:p>
        </w:tc>
        <w:tc>
          <w:tcPr>
            <w:tcW w:w="2087" w:type="dxa"/>
            <w:tcBorders>
              <w:left w:val="single" w:sz="2" w:space="0" w:color="A81C26"/>
            </w:tcBorders>
            <w:shd w:val="clear" w:color="auto" w:fill="auto"/>
            <w:vAlign w:val="center"/>
          </w:tcPr>
          <w:p w14:paraId="4BF305EB" w14:textId="72E48CC8" w:rsidR="006E5670" w:rsidRDefault="006E5670"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$702</w:t>
            </w:r>
          </w:p>
        </w:tc>
      </w:tr>
    </w:tbl>
    <w:p w14:paraId="3843525F" w14:textId="7AD068D1"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98115857"/>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w:t>
            </w:r>
            <w:proofErr w:type="gramStart"/>
            <w:r w:rsidR="00DA4C9B" w:rsidRPr="00DA4C9B">
              <w:rPr>
                <w:rFonts w:ascii="Source Sans Pro" w:eastAsia="MS Mincho" w:hAnsi="Source Sans Pro" w:cs="Times New Roman"/>
                <w:sz w:val="20"/>
                <w:szCs w:val="20"/>
                <w:lang w:val="en-US" w:eastAsia="en-AU"/>
              </w:rPr>
              <w:t>remuneration</w:t>
            </w:r>
            <w:proofErr w:type="gramEnd"/>
            <w:r w:rsidR="00DA4C9B" w:rsidRPr="00DA4C9B">
              <w:rPr>
                <w:rFonts w:ascii="Source Sans Pro" w:eastAsia="MS Mincho" w:hAnsi="Source Sans Pro" w:cs="Times New Roman"/>
                <w:sz w:val="20"/>
                <w:szCs w:val="20"/>
                <w:lang w:val="en-US" w:eastAsia="en-AU"/>
              </w:rPr>
              <w:t xml:space="preserve">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r w:rsidR="006E5670" w:rsidRPr="00AD1005" w14:paraId="5B36AD83" w14:textId="77777777" w:rsidTr="00D23649">
        <w:trPr>
          <w:cantSplit/>
        </w:trPr>
        <w:tc>
          <w:tcPr>
            <w:tcW w:w="2422" w:type="dxa"/>
            <w:tcBorders>
              <w:right w:val="single" w:sz="2" w:space="0" w:color="A81C26"/>
            </w:tcBorders>
            <w:shd w:val="clear" w:color="auto" w:fill="auto"/>
          </w:tcPr>
          <w:p w14:paraId="6020B8E3" w14:textId="2F57A06C" w:rsidR="006E5670" w:rsidRDefault="006E5670"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2025/2026 financial year</w:t>
            </w:r>
          </w:p>
        </w:tc>
        <w:tc>
          <w:tcPr>
            <w:tcW w:w="7178" w:type="dxa"/>
            <w:tcBorders>
              <w:left w:val="single" w:sz="2" w:space="0" w:color="A81C26"/>
            </w:tcBorders>
            <w:shd w:val="clear" w:color="auto" w:fill="auto"/>
          </w:tcPr>
          <w:p w14:paraId="6261C104" w14:textId="6D9C8B0C" w:rsidR="006E5670" w:rsidRDefault="006E5670"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$16,312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98115858"/>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3E3FE8">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bottom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r w:rsidR="006E5670" w:rsidRPr="00AD1005" w14:paraId="52CE53A3" w14:textId="77777777" w:rsidTr="00721804">
        <w:tc>
          <w:tcPr>
            <w:tcW w:w="2436" w:type="dxa"/>
            <w:tcBorders>
              <w:right w:val="single" w:sz="2" w:space="0" w:color="A81C26"/>
            </w:tcBorders>
            <w:shd w:val="clear" w:color="auto" w:fill="auto"/>
          </w:tcPr>
          <w:p w14:paraId="7FD147CE" w14:textId="281A7D99"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64" w:type="dxa"/>
            <w:tcBorders>
              <w:top w:val="single" w:sz="2" w:space="0" w:color="A81C26"/>
              <w:left w:val="single" w:sz="2" w:space="0" w:color="A81C26"/>
            </w:tcBorders>
            <w:shd w:val="clear" w:color="auto" w:fill="auto"/>
          </w:tcPr>
          <w:p w14:paraId="1ABCA9E4" w14:textId="4810A6AC" w:rsidR="006E5670" w:rsidRDefault="006E567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$752</w:t>
            </w:r>
          </w:p>
        </w:tc>
      </w:tr>
    </w:tbl>
    <w:p w14:paraId="4F33D871" w14:textId="77777777" w:rsidR="006B50CD" w:rsidRDefault="00974E04" w:rsidP="003B2902">
      <w:pPr>
        <w:pStyle w:val="Heading1"/>
      </w:pPr>
      <w:bookmarkStart w:id="88" w:name="_Toc413756011"/>
      <w:bookmarkStart w:id="89" w:name="_Toc141257478"/>
      <w:bookmarkStart w:id="90" w:name="_Toc198115859"/>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r w:rsidR="006E5670" w:rsidRPr="00A52709" w14:paraId="48CE14E0" w14:textId="77777777" w:rsidTr="00721804">
        <w:tc>
          <w:tcPr>
            <w:tcW w:w="2450" w:type="dxa"/>
            <w:tcBorders>
              <w:right w:val="single" w:sz="2" w:space="0" w:color="A81C26"/>
            </w:tcBorders>
            <w:shd w:val="clear" w:color="auto" w:fill="auto"/>
          </w:tcPr>
          <w:p w14:paraId="64ECA8CE" w14:textId="4B7D9AA0" w:rsidR="006E5670" w:rsidRDefault="006E567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1/1/2025</w:t>
            </w:r>
          </w:p>
        </w:tc>
        <w:tc>
          <w:tcPr>
            <w:tcW w:w="7150" w:type="dxa"/>
            <w:tcBorders>
              <w:left w:val="single" w:sz="2" w:space="0" w:color="A81C26"/>
            </w:tcBorders>
            <w:shd w:val="clear" w:color="auto" w:fill="auto"/>
          </w:tcPr>
          <w:p w14:paraId="6614D8CD" w14:textId="564299A8" w:rsidR="006E5670" w:rsidRDefault="006E567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$1,100,000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98115860"/>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Corbe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7E2BED8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C0767">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7E2BED8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C0767">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153CDA18"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C0767">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153CDA18"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C0767">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1AB93912"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C0767">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1AB93912"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CC0767">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18F769E4"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C0767">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18F769E4"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C0767">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1377F8C9"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C0767">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1377F8C9"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C0767">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09D3D945"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C0767">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09D3D945"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C0767">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3A06C615"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C0767">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3A06C615"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CC0767">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64B19BB7"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C0767">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64B19BB7"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CC0767">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337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24"/>
    <w:rsid w:val="000B1DA9"/>
    <w:rsid w:val="000B1DB2"/>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06E99"/>
    <w:rsid w:val="00112E37"/>
    <w:rsid w:val="001130A0"/>
    <w:rsid w:val="00113925"/>
    <w:rsid w:val="001139C2"/>
    <w:rsid w:val="00113C45"/>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E7FE8"/>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0296"/>
    <w:rsid w:val="002629E8"/>
    <w:rsid w:val="00262FC0"/>
    <w:rsid w:val="00265CD7"/>
    <w:rsid w:val="00267CD9"/>
    <w:rsid w:val="00267DFA"/>
    <w:rsid w:val="00270001"/>
    <w:rsid w:val="00271452"/>
    <w:rsid w:val="0027232D"/>
    <w:rsid w:val="002754EF"/>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0E1D"/>
    <w:rsid w:val="002C1AF5"/>
    <w:rsid w:val="002C6F9C"/>
    <w:rsid w:val="002C7EEB"/>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866"/>
    <w:rsid w:val="00361D10"/>
    <w:rsid w:val="00362C38"/>
    <w:rsid w:val="003711CC"/>
    <w:rsid w:val="003743E7"/>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3FE8"/>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2223"/>
    <w:rsid w:val="004E33D7"/>
    <w:rsid w:val="004E53D6"/>
    <w:rsid w:val="004E5890"/>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BB3"/>
    <w:rsid w:val="00525C97"/>
    <w:rsid w:val="00530A1F"/>
    <w:rsid w:val="00533AEF"/>
    <w:rsid w:val="005355CD"/>
    <w:rsid w:val="005400C1"/>
    <w:rsid w:val="00540E0A"/>
    <w:rsid w:val="0054158A"/>
    <w:rsid w:val="00542C64"/>
    <w:rsid w:val="00542CA0"/>
    <w:rsid w:val="0054551A"/>
    <w:rsid w:val="00546706"/>
    <w:rsid w:val="00546A49"/>
    <w:rsid w:val="005508EB"/>
    <w:rsid w:val="00561D2C"/>
    <w:rsid w:val="00562BD2"/>
    <w:rsid w:val="0056452D"/>
    <w:rsid w:val="00565453"/>
    <w:rsid w:val="0056564A"/>
    <w:rsid w:val="005679C2"/>
    <w:rsid w:val="00567EEB"/>
    <w:rsid w:val="00570726"/>
    <w:rsid w:val="00570AFC"/>
    <w:rsid w:val="00571B8A"/>
    <w:rsid w:val="00574DEB"/>
    <w:rsid w:val="00575C63"/>
    <w:rsid w:val="00575DCA"/>
    <w:rsid w:val="00576B24"/>
    <w:rsid w:val="00577361"/>
    <w:rsid w:val="0058336E"/>
    <w:rsid w:val="0058350A"/>
    <w:rsid w:val="00583F7D"/>
    <w:rsid w:val="00584DBC"/>
    <w:rsid w:val="0058638C"/>
    <w:rsid w:val="00594CB3"/>
    <w:rsid w:val="00597CEC"/>
    <w:rsid w:val="005A1C8A"/>
    <w:rsid w:val="005A25A1"/>
    <w:rsid w:val="005A4EC2"/>
    <w:rsid w:val="005A4F87"/>
    <w:rsid w:val="005A5B3C"/>
    <w:rsid w:val="005B06F1"/>
    <w:rsid w:val="005B475F"/>
    <w:rsid w:val="005B5746"/>
    <w:rsid w:val="005B67BB"/>
    <w:rsid w:val="005C0A93"/>
    <w:rsid w:val="005C476B"/>
    <w:rsid w:val="005C7D8A"/>
    <w:rsid w:val="005C7FE7"/>
    <w:rsid w:val="005D20DC"/>
    <w:rsid w:val="005D3651"/>
    <w:rsid w:val="005D4329"/>
    <w:rsid w:val="005D46ED"/>
    <w:rsid w:val="005D5CB7"/>
    <w:rsid w:val="005D70B9"/>
    <w:rsid w:val="005D79D9"/>
    <w:rsid w:val="005E28C7"/>
    <w:rsid w:val="005E3BB2"/>
    <w:rsid w:val="005F11CA"/>
    <w:rsid w:val="005F17B8"/>
    <w:rsid w:val="005F3541"/>
    <w:rsid w:val="005F5284"/>
    <w:rsid w:val="005F5BCC"/>
    <w:rsid w:val="00600F06"/>
    <w:rsid w:val="00603A15"/>
    <w:rsid w:val="006066DC"/>
    <w:rsid w:val="00611B2D"/>
    <w:rsid w:val="00612283"/>
    <w:rsid w:val="00617EF8"/>
    <w:rsid w:val="00617F3F"/>
    <w:rsid w:val="00621344"/>
    <w:rsid w:val="0062181D"/>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2D93"/>
    <w:rsid w:val="00683EFD"/>
    <w:rsid w:val="00685567"/>
    <w:rsid w:val="00692B78"/>
    <w:rsid w:val="00692BC8"/>
    <w:rsid w:val="006954EE"/>
    <w:rsid w:val="0069558C"/>
    <w:rsid w:val="00695FE6"/>
    <w:rsid w:val="00696865"/>
    <w:rsid w:val="00697324"/>
    <w:rsid w:val="006A1A6D"/>
    <w:rsid w:val="006A24D4"/>
    <w:rsid w:val="006A30A3"/>
    <w:rsid w:val="006A3D5E"/>
    <w:rsid w:val="006B042C"/>
    <w:rsid w:val="006B14BF"/>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E5670"/>
    <w:rsid w:val="006F2DA0"/>
    <w:rsid w:val="006F47DB"/>
    <w:rsid w:val="006F69EB"/>
    <w:rsid w:val="00701BEF"/>
    <w:rsid w:val="007060E1"/>
    <w:rsid w:val="007061AA"/>
    <w:rsid w:val="00710A4C"/>
    <w:rsid w:val="0071177D"/>
    <w:rsid w:val="00712BAF"/>
    <w:rsid w:val="00713E67"/>
    <w:rsid w:val="007147FA"/>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4FC0"/>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56EE3"/>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1594"/>
    <w:rsid w:val="008A2CFF"/>
    <w:rsid w:val="008A52FA"/>
    <w:rsid w:val="008A55EA"/>
    <w:rsid w:val="008B191F"/>
    <w:rsid w:val="008B3FD2"/>
    <w:rsid w:val="008B5CE5"/>
    <w:rsid w:val="008B7431"/>
    <w:rsid w:val="008B7730"/>
    <w:rsid w:val="008C3EC7"/>
    <w:rsid w:val="008C69CA"/>
    <w:rsid w:val="008C6DA9"/>
    <w:rsid w:val="008D222C"/>
    <w:rsid w:val="008D461C"/>
    <w:rsid w:val="008D5F4A"/>
    <w:rsid w:val="008E6B3B"/>
    <w:rsid w:val="008F004C"/>
    <w:rsid w:val="008F3035"/>
    <w:rsid w:val="008F3932"/>
    <w:rsid w:val="008F6BD0"/>
    <w:rsid w:val="00900CDD"/>
    <w:rsid w:val="009020C8"/>
    <w:rsid w:val="009034B6"/>
    <w:rsid w:val="00903F2D"/>
    <w:rsid w:val="00903F68"/>
    <w:rsid w:val="009052B2"/>
    <w:rsid w:val="009069B1"/>
    <w:rsid w:val="00910C90"/>
    <w:rsid w:val="0091120B"/>
    <w:rsid w:val="009139B8"/>
    <w:rsid w:val="0091412E"/>
    <w:rsid w:val="0091481B"/>
    <w:rsid w:val="00914EA4"/>
    <w:rsid w:val="009228D5"/>
    <w:rsid w:val="0092468F"/>
    <w:rsid w:val="00926CF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77D0D"/>
    <w:rsid w:val="00985380"/>
    <w:rsid w:val="00990812"/>
    <w:rsid w:val="009910E2"/>
    <w:rsid w:val="00993D78"/>
    <w:rsid w:val="009A2A0B"/>
    <w:rsid w:val="009A2B58"/>
    <w:rsid w:val="009A34E3"/>
    <w:rsid w:val="009A440A"/>
    <w:rsid w:val="009A4D4C"/>
    <w:rsid w:val="009A5CB3"/>
    <w:rsid w:val="009A6DDA"/>
    <w:rsid w:val="009A7D47"/>
    <w:rsid w:val="009A7E06"/>
    <w:rsid w:val="009B0713"/>
    <w:rsid w:val="009B5938"/>
    <w:rsid w:val="009C2F19"/>
    <w:rsid w:val="009C339A"/>
    <w:rsid w:val="009D0E8D"/>
    <w:rsid w:val="009D14EC"/>
    <w:rsid w:val="009D4610"/>
    <w:rsid w:val="009E66A5"/>
    <w:rsid w:val="009F3E22"/>
    <w:rsid w:val="009F61ED"/>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4D02"/>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32F3"/>
    <w:rsid w:val="00A5418F"/>
    <w:rsid w:val="00A5737A"/>
    <w:rsid w:val="00A62B1D"/>
    <w:rsid w:val="00A67B0E"/>
    <w:rsid w:val="00A70F94"/>
    <w:rsid w:val="00A71A55"/>
    <w:rsid w:val="00A7416E"/>
    <w:rsid w:val="00A75705"/>
    <w:rsid w:val="00A80263"/>
    <w:rsid w:val="00A803E8"/>
    <w:rsid w:val="00A81B2E"/>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AD8"/>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262"/>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6A2A"/>
    <w:rsid w:val="00B076A7"/>
    <w:rsid w:val="00B10C20"/>
    <w:rsid w:val="00B12629"/>
    <w:rsid w:val="00B138D4"/>
    <w:rsid w:val="00B13A60"/>
    <w:rsid w:val="00B13BD1"/>
    <w:rsid w:val="00B146C5"/>
    <w:rsid w:val="00B212EB"/>
    <w:rsid w:val="00B227BC"/>
    <w:rsid w:val="00B26A81"/>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11FD"/>
    <w:rsid w:val="00B716D9"/>
    <w:rsid w:val="00B72714"/>
    <w:rsid w:val="00B761B0"/>
    <w:rsid w:val="00B81A04"/>
    <w:rsid w:val="00B84E7D"/>
    <w:rsid w:val="00B8694C"/>
    <w:rsid w:val="00B9017F"/>
    <w:rsid w:val="00B90458"/>
    <w:rsid w:val="00B90680"/>
    <w:rsid w:val="00B94734"/>
    <w:rsid w:val="00B94765"/>
    <w:rsid w:val="00B978ED"/>
    <w:rsid w:val="00B97AAE"/>
    <w:rsid w:val="00BA0C14"/>
    <w:rsid w:val="00BA10AD"/>
    <w:rsid w:val="00BA25D6"/>
    <w:rsid w:val="00BA2A2B"/>
    <w:rsid w:val="00BA2AF5"/>
    <w:rsid w:val="00BA2EFB"/>
    <w:rsid w:val="00BA3CAE"/>
    <w:rsid w:val="00BA50EC"/>
    <w:rsid w:val="00BA61CB"/>
    <w:rsid w:val="00BA7561"/>
    <w:rsid w:val="00BB00DB"/>
    <w:rsid w:val="00BB4397"/>
    <w:rsid w:val="00BB4AE6"/>
    <w:rsid w:val="00BB4BEC"/>
    <w:rsid w:val="00BB61E6"/>
    <w:rsid w:val="00BB66E7"/>
    <w:rsid w:val="00BD3730"/>
    <w:rsid w:val="00BD3C72"/>
    <w:rsid w:val="00BD6530"/>
    <w:rsid w:val="00BD6B9B"/>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4FDE"/>
    <w:rsid w:val="00C26291"/>
    <w:rsid w:val="00C26D8B"/>
    <w:rsid w:val="00C2705D"/>
    <w:rsid w:val="00C325CF"/>
    <w:rsid w:val="00C365A6"/>
    <w:rsid w:val="00C37623"/>
    <w:rsid w:val="00C37A84"/>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767"/>
    <w:rsid w:val="00CC0C5E"/>
    <w:rsid w:val="00CC3314"/>
    <w:rsid w:val="00CC3EC1"/>
    <w:rsid w:val="00CC5FF8"/>
    <w:rsid w:val="00CD2149"/>
    <w:rsid w:val="00CD2834"/>
    <w:rsid w:val="00CD2DDB"/>
    <w:rsid w:val="00CD4983"/>
    <w:rsid w:val="00CE6F45"/>
    <w:rsid w:val="00CF2EBE"/>
    <w:rsid w:val="00CF3627"/>
    <w:rsid w:val="00CF4692"/>
    <w:rsid w:val="00CF7E4E"/>
    <w:rsid w:val="00D03F99"/>
    <w:rsid w:val="00D059CD"/>
    <w:rsid w:val="00D10207"/>
    <w:rsid w:val="00D12B0B"/>
    <w:rsid w:val="00D13832"/>
    <w:rsid w:val="00D13885"/>
    <w:rsid w:val="00D13A66"/>
    <w:rsid w:val="00D152E6"/>
    <w:rsid w:val="00D166E7"/>
    <w:rsid w:val="00D177AF"/>
    <w:rsid w:val="00D2239D"/>
    <w:rsid w:val="00D22810"/>
    <w:rsid w:val="00D23649"/>
    <w:rsid w:val="00D23B3F"/>
    <w:rsid w:val="00D254F8"/>
    <w:rsid w:val="00D27C1E"/>
    <w:rsid w:val="00D3063D"/>
    <w:rsid w:val="00D31559"/>
    <w:rsid w:val="00D336EE"/>
    <w:rsid w:val="00D34508"/>
    <w:rsid w:val="00D349DF"/>
    <w:rsid w:val="00D35734"/>
    <w:rsid w:val="00D35929"/>
    <w:rsid w:val="00D36D91"/>
    <w:rsid w:val="00D423DE"/>
    <w:rsid w:val="00D47149"/>
    <w:rsid w:val="00D47D11"/>
    <w:rsid w:val="00D51920"/>
    <w:rsid w:val="00D52897"/>
    <w:rsid w:val="00D54389"/>
    <w:rsid w:val="00D55B0F"/>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80"/>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722"/>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504"/>
    <w:rsid w:val="00EB0738"/>
    <w:rsid w:val="00EB1EFA"/>
    <w:rsid w:val="00EB32E1"/>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D49"/>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21"/>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2.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customXml/itemProps3.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5.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7191</Words>
  <Characters>42571</Characters>
  <Application>Microsoft Office Word</Application>
  <DocSecurity>0</DocSecurity>
  <Lines>5321</Lines>
  <Paragraphs>4976</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44786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2025-05-13T23:59:00Z</dcterms:created>
  <dcterms:modified xsi:type="dcterms:W3CDTF">2025-05-14T02:21:00Z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E9AD0FBD8BF53B868F1A05A351167D68</vt:lpwstr>
  </property>
  <property fmtid="{D5CDD505-2E9C-101B-9397-08002B2CF9AE}" pid="22" name="PM_Hash_Salt">
    <vt:lpwstr>B8BE674A14F048437D274B25C9DA0225</vt:lpwstr>
  </property>
  <property fmtid="{D5CDD505-2E9C-101B-9397-08002B2CF9AE}" pid="23" name="PM_Hash_SHA1">
    <vt:lpwstr>27CD45942780ECFC0C357EBDD908627D272E9EAE</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v=2022.1;a=SHA256;h=A5BF83F9C461AF3B234BE5F0A5C393124CADF89FF70FA5C3B588F54AD36D147A</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