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3BC7" w14:textId="77777777" w:rsidR="00F27FCE" w:rsidRDefault="00F27FCE" w:rsidP="00F27FCE">
      <w:pPr>
        <w:pStyle w:val="MainHeadingCover"/>
        <w:spacing w:line="420" w:lineRule="exact"/>
        <w:rPr>
          <w:sz w:val="44"/>
        </w:rPr>
      </w:pPr>
      <w:bookmarkStart w:id="0" w:name="_Toc416964868"/>
    </w:p>
    <w:p w14:paraId="6BCED3FA" w14:textId="723C8844" w:rsidR="00F27FCE" w:rsidRDefault="00AE311B" w:rsidP="00F27FCE">
      <w:pPr>
        <w:pStyle w:val="SubheadingCover"/>
        <w:spacing w:line="276" w:lineRule="auto"/>
        <w:rPr>
          <w:i/>
        </w:rPr>
      </w:pPr>
      <w:r>
        <w:rPr>
          <w:rFonts w:cs="SourceSansPro-Light"/>
          <w:color w:val="A21C26"/>
          <w:sz w:val="52"/>
          <w:szCs w:val="22"/>
          <w:lang w:val="en-US"/>
        </w:rPr>
        <w:t>Taxi drivers</w:t>
      </w:r>
    </w:p>
    <w:p w14:paraId="78A7164D" w14:textId="3C7DE784" w:rsidR="00F27FCE" w:rsidRPr="00F664BA" w:rsidRDefault="00F664BA" w:rsidP="00F27FCE">
      <w:pPr>
        <w:pStyle w:val="SubheadingCover"/>
        <w:spacing w:line="276" w:lineRule="auto"/>
        <w:rPr>
          <w:rFonts w:cs="SourceSansPro-Light"/>
          <w:color w:val="A21C26"/>
          <w:sz w:val="32"/>
          <w:szCs w:val="32"/>
          <w:lang w:val="en-US"/>
        </w:rPr>
      </w:pPr>
      <w:r w:rsidRPr="00F664BA">
        <w:rPr>
          <w:rFonts w:cs="SourceSansPro-Light"/>
          <w:color w:val="A21C26"/>
          <w:sz w:val="32"/>
          <w:szCs w:val="32"/>
          <w:lang w:val="en-US"/>
        </w:rPr>
        <w:t xml:space="preserve">A guide to deemed workers </w:t>
      </w:r>
    </w:p>
    <w:p w14:paraId="17448E1E" w14:textId="77777777" w:rsidR="00F664BA" w:rsidRDefault="00F664BA" w:rsidP="00F27FCE">
      <w:pPr>
        <w:pStyle w:val="Heading1"/>
        <w:rPr>
          <w:rFonts w:eastAsia="MS Mincho"/>
          <w:color w:val="000000"/>
          <w:sz w:val="22"/>
          <w:szCs w:val="20"/>
        </w:rPr>
      </w:pPr>
      <w:bookmarkStart w:id="1" w:name="_Toc416869541"/>
      <w:bookmarkStart w:id="2" w:name="_Toc416873082"/>
      <w:bookmarkStart w:id="3" w:name="_Toc416881457"/>
      <w:bookmarkStart w:id="4" w:name="_Toc416964869"/>
      <w:bookmarkStart w:id="5" w:name="_Toc417045356"/>
      <w:bookmarkStart w:id="6" w:name="_Toc417046134"/>
      <w:bookmarkStart w:id="7" w:name="_Toc417049698"/>
      <w:bookmarkStart w:id="8" w:name="_Toc417049912"/>
      <w:bookmarkStart w:id="9" w:name="_Toc417049967"/>
      <w:bookmarkStart w:id="10" w:name="_Toc417050132"/>
      <w:bookmarkStart w:id="11" w:name="_Toc417050750"/>
      <w:bookmarkEnd w:id="0"/>
    </w:p>
    <w:p w14:paraId="28731232" w14:textId="77777777" w:rsidR="00F664BA" w:rsidRDefault="00F664BA" w:rsidP="00F664BA">
      <w:pPr>
        <w:pStyle w:val="Heading1"/>
        <w:spacing w:line="240" w:lineRule="auto"/>
        <w:rPr>
          <w:rFonts w:eastAsia="MS Mincho"/>
          <w:color w:val="000000"/>
          <w:sz w:val="22"/>
          <w:szCs w:val="20"/>
        </w:rPr>
        <w:sectPr w:rsidR="00F664BA"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p>
    <w:p w14:paraId="09ADE031" w14:textId="087916F9" w:rsidR="00F27FCE" w:rsidRDefault="00F27FCE" w:rsidP="00F664BA">
      <w:pPr>
        <w:pStyle w:val="Heading1"/>
        <w:spacing w:line="240" w:lineRule="auto"/>
        <w:rPr>
          <w:rFonts w:eastAsia="MS Mincho"/>
          <w:bCs/>
          <w:color w:val="000000"/>
          <w:sz w:val="22"/>
          <w:szCs w:val="20"/>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End w:id="1"/>
      <w:bookmarkEnd w:id="2"/>
      <w:bookmarkEnd w:id="3"/>
      <w:bookmarkEnd w:id="4"/>
      <w:bookmarkEnd w:id="5"/>
      <w:bookmarkEnd w:id="6"/>
      <w:bookmarkEnd w:id="7"/>
      <w:bookmarkEnd w:id="8"/>
      <w:bookmarkEnd w:id="9"/>
      <w:bookmarkEnd w:id="10"/>
      <w:bookmarkEnd w:id="11"/>
    </w:p>
    <w:p w14:paraId="6E7E6548" w14:textId="77777777" w:rsidR="00F27FCE" w:rsidRDefault="00F27FCE" w:rsidP="00F664BA">
      <w:pPr>
        <w:spacing w:line="240" w:lineRule="auto"/>
      </w:pPr>
    </w:p>
    <w:p w14:paraId="63421B5D" w14:textId="77777777" w:rsidR="00F27FCE" w:rsidRPr="00F664BA" w:rsidRDefault="00F27FCE" w:rsidP="00F664BA">
      <w:pPr>
        <w:pStyle w:val="Heading1"/>
        <w:spacing w:line="240" w:lineRule="auto"/>
        <w:rPr>
          <w:sz w:val="24"/>
          <w:szCs w:val="24"/>
        </w:rPr>
      </w:pPr>
      <w:bookmarkStart w:id="12" w:name="_Toc416964870"/>
      <w:bookmarkStart w:id="13" w:name="_Toc417050751"/>
      <w:r w:rsidRPr="00F664BA">
        <w:rPr>
          <w:sz w:val="24"/>
          <w:szCs w:val="24"/>
        </w:rPr>
        <w:t>Who is a worker?</w:t>
      </w:r>
      <w:bookmarkEnd w:id="12"/>
      <w:bookmarkEnd w:id="13"/>
    </w:p>
    <w:p w14:paraId="7A20BBC4" w14:textId="4B579F2F" w:rsidR="00F27FCE" w:rsidRDefault="00F27FCE" w:rsidP="00F664BA">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A2243E">
        <w:t>ha</w:t>
      </w:r>
      <w:r>
        <w:t>s a broader definition than ‘employee’.</w:t>
      </w:r>
    </w:p>
    <w:p w14:paraId="54D03E25" w14:textId="77777777" w:rsidR="00F27FCE" w:rsidRDefault="00F27FCE" w:rsidP="00F664BA">
      <w:pPr>
        <w:spacing w:line="240" w:lineRule="auto"/>
        <w:jc w:val="left"/>
      </w:pPr>
    </w:p>
    <w:p w14:paraId="53ECF984" w14:textId="54E6FF23" w:rsidR="00F27FCE" w:rsidRDefault="00F27FCE" w:rsidP="00F664BA">
      <w:pPr>
        <w:spacing w:line="240" w:lineRule="auto"/>
        <w:jc w:val="left"/>
      </w:pPr>
      <w:r>
        <w:t xml:space="preserve">Whether someone is a worker under the Act needs to be considered on a case-by-case basis, from the viewpoint of the </w:t>
      </w:r>
      <w:r w:rsidR="00A2243E">
        <w:t>‘</w:t>
      </w:r>
      <w:r>
        <w:t>worker</w:t>
      </w:r>
      <w:r w:rsidR="00A2243E">
        <w:t>’</w:t>
      </w:r>
      <w:r>
        <w:t>-</w:t>
      </w:r>
      <w:r w:rsidR="00A2243E">
        <w:t>‘</w:t>
      </w:r>
      <w:r>
        <w:t>employer</w:t>
      </w:r>
      <w:r w:rsidR="00A2243E">
        <w:t>’</w:t>
      </w:r>
      <w:r>
        <w:t xml:space="preserve"> relationship, against </w:t>
      </w:r>
      <w:r w:rsidR="00A2243E">
        <w:t xml:space="preserve">the provisions of the Act and </w:t>
      </w:r>
      <w:r>
        <w:t>well-tested common law principles.</w:t>
      </w:r>
    </w:p>
    <w:p w14:paraId="452D2242" w14:textId="77777777" w:rsidR="00F27FCE" w:rsidRDefault="00F27FCE" w:rsidP="00F664BA">
      <w:pPr>
        <w:spacing w:line="240" w:lineRule="auto"/>
        <w:jc w:val="left"/>
      </w:pPr>
    </w:p>
    <w:p w14:paraId="6F8807A1" w14:textId="22F5A1DF" w:rsidR="00F27FCE" w:rsidRDefault="00F27FCE" w:rsidP="00F664BA">
      <w:pPr>
        <w:spacing w:line="240" w:lineRule="auto"/>
        <w:jc w:val="left"/>
      </w:pPr>
      <w:r>
        <w:t xml:space="preserve">The definition of ‘contract of service’ under the Act </w:t>
      </w:r>
      <w:r w:rsidR="00A2243E">
        <w:t>includes a contract, arrangement or understanding under which 1 person (the worker) works for another</w:t>
      </w:r>
      <w:r>
        <w:t xml:space="preserve"> (the principal) </w:t>
      </w:r>
      <w:r w:rsidR="00A2243E">
        <w:t>in certain types of work i.e. prescribed work or work of a prescribed class</w:t>
      </w:r>
      <w:r>
        <w:t xml:space="preserve"> - and this includes otherwise independent contractors</w:t>
      </w:r>
      <w:r w:rsidR="00A2243E">
        <w:t>. In these circumstances</w:t>
      </w:r>
      <w:r>
        <w:t xml:space="preserve"> the principal is taken to be the ‘employer’ </w:t>
      </w:r>
      <w:r w:rsidR="00A2243E">
        <w:t>of</w:t>
      </w:r>
      <w:r>
        <w:t xml:space="preserve"> the ‘worker’.</w:t>
      </w:r>
    </w:p>
    <w:p w14:paraId="7B504EE2" w14:textId="77777777" w:rsidR="00F27FCE" w:rsidRPr="00F664BA" w:rsidRDefault="00F27FCE" w:rsidP="00F664BA">
      <w:pPr>
        <w:spacing w:line="240" w:lineRule="auto"/>
        <w:jc w:val="left"/>
        <w:rPr>
          <w:sz w:val="24"/>
          <w:szCs w:val="24"/>
        </w:rPr>
      </w:pPr>
    </w:p>
    <w:p w14:paraId="52EF1F9F" w14:textId="77777777" w:rsidR="00F27FCE" w:rsidRPr="00F664BA" w:rsidRDefault="00F27FCE" w:rsidP="00F664BA">
      <w:pPr>
        <w:pStyle w:val="Heading1"/>
        <w:spacing w:line="240" w:lineRule="auto"/>
        <w:rPr>
          <w:sz w:val="24"/>
          <w:szCs w:val="24"/>
        </w:rPr>
      </w:pPr>
      <w:bookmarkStart w:id="14" w:name="_Toc416964871"/>
      <w:bookmarkStart w:id="15" w:name="_Toc417050752"/>
      <w:r w:rsidRPr="00F664BA">
        <w:rPr>
          <w:sz w:val="24"/>
          <w:szCs w:val="24"/>
        </w:rPr>
        <w:t>Important notes</w:t>
      </w:r>
      <w:bookmarkEnd w:id="14"/>
      <w:bookmarkEnd w:id="15"/>
    </w:p>
    <w:p w14:paraId="3A9D09C7" w14:textId="78F13ABD" w:rsidR="00F27FCE" w:rsidRPr="00943514" w:rsidRDefault="00F27FCE" w:rsidP="00F664BA">
      <w:pPr>
        <w:spacing w:line="240" w:lineRule="auto"/>
        <w:jc w:val="left"/>
      </w:pPr>
      <w:r w:rsidRPr="00943514">
        <w:t xml:space="preserve">Whether a worker is engaged to perform work on an ongoing basis or for a short period </w:t>
      </w:r>
      <w:r w:rsidR="00DC6B0C">
        <w:t>e.g.</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7A00230C" w14:textId="2C4B4176" w:rsidR="00F27FCE" w:rsidRPr="00943514" w:rsidRDefault="00F27FCE" w:rsidP="00F664BA">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 contractor (who employs</w:t>
      </w:r>
      <w:r w:rsidR="00597EDE">
        <w:t xml:space="preserve"> a worker(s)</w:t>
      </w:r>
      <w:r w:rsidRPr="00943514">
        <w:t>) is not registered, then under section 4(4) of the Act the principal is taken to be the employer</w:t>
      </w:r>
      <w:r w:rsidR="00597EDE">
        <w:t xml:space="preserve"> of the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597EDE">
        <w:t xml:space="preserve"> by requesting them to provide a copy of a certificate of registration</w:t>
      </w:r>
      <w:r w:rsidRPr="00943514">
        <w:t>.</w:t>
      </w:r>
    </w:p>
    <w:p w14:paraId="724D82BC" w14:textId="77777777" w:rsidR="00F27FCE" w:rsidRDefault="00F27FCE" w:rsidP="00F664BA">
      <w:pPr>
        <w:pStyle w:val="Bodycopy"/>
        <w:spacing w:line="240" w:lineRule="auto"/>
      </w:pPr>
    </w:p>
    <w:p w14:paraId="229D5E69" w14:textId="77777777" w:rsidR="00F27FCE" w:rsidRDefault="00F27FCE" w:rsidP="00F664BA">
      <w:pPr>
        <w:pStyle w:val="Bodycopy"/>
        <w:spacing w:line="240" w:lineRule="auto"/>
      </w:pPr>
      <w:r>
        <w:t>Section 4(4) of the Act – states:</w:t>
      </w:r>
    </w:p>
    <w:p w14:paraId="0A3B9C38" w14:textId="77777777" w:rsidR="00F27FCE" w:rsidRPr="0008405E" w:rsidRDefault="00F27FCE" w:rsidP="00F664BA">
      <w:pPr>
        <w:pStyle w:val="Bodycopy"/>
        <w:spacing w:line="240" w:lineRule="auto"/>
        <w:ind w:left="142" w:right="283"/>
        <w:rPr>
          <w:i/>
        </w:rPr>
      </w:pPr>
      <w:r w:rsidRPr="0008405E">
        <w:rPr>
          <w:i/>
        </w:rPr>
        <w:t xml:space="preserve">Where in a prescribed industry or in prescribed circumstances a person (the </w:t>
      </w:r>
      <w:r w:rsidRPr="00AA752B">
        <w:rPr>
          <w:b/>
          <w:i/>
        </w:rPr>
        <w:t>principal</w:t>
      </w:r>
      <w:r w:rsidRPr="0008405E">
        <w:rPr>
          <w:i/>
        </w:rPr>
        <w:t>) contracts with another person (</w:t>
      </w:r>
      <w:r w:rsidRPr="00AA752B">
        <w:rPr>
          <w:b/>
          <w:i/>
        </w:rPr>
        <w:t>the contractor</w:t>
      </w:r>
      <w:r w:rsidRPr="0008405E">
        <w:rPr>
          <w:i/>
        </w:rPr>
        <w:t>) for the performance by the contractor of work undertaken by the principal, the principal will, for the purposes of this Act, be taken to be the employer of workers employed by the contractor.</w:t>
      </w:r>
    </w:p>
    <w:p w14:paraId="2BE4BB0E" w14:textId="77777777" w:rsidR="00F27FCE" w:rsidRDefault="00F27FCE" w:rsidP="00F664BA">
      <w:pPr>
        <w:pStyle w:val="Bodycopy"/>
        <w:spacing w:line="240" w:lineRule="auto"/>
      </w:pPr>
    </w:p>
    <w:p w14:paraId="00E8D019" w14:textId="444F9FC2" w:rsidR="00F27FCE" w:rsidRDefault="00F27FCE" w:rsidP="00F664BA">
      <w:pPr>
        <w:pStyle w:val="Bodycopy"/>
        <w:spacing w:line="240" w:lineRule="auto"/>
      </w:pPr>
      <w:r>
        <w:t>Regulation 5</w:t>
      </w:r>
      <w:r w:rsidR="00597EDE">
        <w:t>(</w:t>
      </w:r>
      <w:r>
        <w:t>8</w:t>
      </w:r>
      <w:r w:rsidR="00597EDE">
        <w:t>)</w:t>
      </w:r>
      <w:r>
        <w:t xml:space="preserve"> of the </w:t>
      </w:r>
      <w:r w:rsidRPr="00353A9F">
        <w:rPr>
          <w:i/>
        </w:rPr>
        <w:t xml:space="preserve">Return to Work Regulations 2015 </w:t>
      </w:r>
      <w:r w:rsidR="00597EDE" w:rsidRPr="00AA752B">
        <w:t>(the Regulations)</w:t>
      </w:r>
      <w:r w:rsidR="00597EDE">
        <w:rPr>
          <w:i/>
        </w:rPr>
        <w:t xml:space="preserve"> </w:t>
      </w:r>
      <w:r>
        <w:t>states:</w:t>
      </w:r>
    </w:p>
    <w:p w14:paraId="7E83F18C" w14:textId="77777777" w:rsidR="00F27FCE" w:rsidRPr="00F664BA" w:rsidRDefault="00F27FCE" w:rsidP="00F664BA">
      <w:pPr>
        <w:pStyle w:val="Bodycopy"/>
        <w:spacing w:line="240" w:lineRule="auto"/>
        <w:ind w:left="142" w:right="283"/>
        <w:rPr>
          <w:i/>
        </w:rPr>
      </w:pPr>
      <w:r w:rsidRPr="0008405E">
        <w:rPr>
          <w:i/>
        </w:rPr>
        <w:t>For the purposes of section 4(4) of the Act, a prescribed circumstance is where a person (the principal) contracts with another person (the contractor) who is not registered as an employer under the Act</w:t>
      </w:r>
      <w:r w:rsidRPr="00F664BA">
        <w:rPr>
          <w:i/>
        </w:rPr>
        <w:t>.</w:t>
      </w:r>
    </w:p>
    <w:p w14:paraId="0C9F4870" w14:textId="52ADA72C" w:rsidR="00F27FCE" w:rsidRPr="00F664BA" w:rsidRDefault="00F27FCE" w:rsidP="00F664BA">
      <w:pPr>
        <w:widowControl/>
        <w:suppressAutoHyphens w:val="0"/>
        <w:autoSpaceDE/>
        <w:autoSpaceDN/>
        <w:adjustRightInd/>
        <w:spacing w:line="240" w:lineRule="auto"/>
        <w:jc w:val="left"/>
        <w:textAlignment w:val="auto"/>
        <w:rPr>
          <w:color w:val="A21C26"/>
          <w:sz w:val="24"/>
          <w:szCs w:val="24"/>
        </w:rPr>
      </w:pPr>
      <w:bookmarkStart w:id="16" w:name="_Toc416964872"/>
    </w:p>
    <w:p w14:paraId="31AF78D4" w14:textId="77777777" w:rsidR="004314EC" w:rsidRPr="00F664BA" w:rsidRDefault="004314EC" w:rsidP="00F664BA">
      <w:pPr>
        <w:pStyle w:val="Heading1"/>
        <w:spacing w:line="240" w:lineRule="auto"/>
        <w:rPr>
          <w:sz w:val="24"/>
          <w:szCs w:val="24"/>
        </w:rPr>
      </w:pPr>
      <w:bookmarkStart w:id="17" w:name="_Toc416873085"/>
      <w:bookmarkStart w:id="18" w:name="_Toc417050753"/>
      <w:bookmarkStart w:id="19" w:name="_Toc416964875"/>
      <w:bookmarkEnd w:id="16"/>
      <w:r w:rsidRPr="00F664BA">
        <w:rPr>
          <w:sz w:val="24"/>
          <w:szCs w:val="24"/>
        </w:rPr>
        <w:t>Taxi drivers</w:t>
      </w:r>
      <w:bookmarkEnd w:id="17"/>
      <w:bookmarkEnd w:id="18"/>
    </w:p>
    <w:p w14:paraId="48509E26" w14:textId="6DA0894C" w:rsidR="00AA752B" w:rsidRDefault="00180585" w:rsidP="00F664BA">
      <w:pPr>
        <w:pStyle w:val="Bodycopy"/>
        <w:spacing w:line="240" w:lineRule="auto"/>
        <w:jc w:val="left"/>
      </w:pPr>
      <w:r>
        <w:t>Regulation 5(1)(d) of the Regulations provides that a</w:t>
      </w:r>
      <w:r w:rsidR="004314EC">
        <w:t xml:space="preserve"> driver of a taxi-cab (or similar motor vehicle) used for the purpose of transporting members of the public,  </w:t>
      </w:r>
      <w:r w:rsidR="00294392">
        <w:rPr>
          <w:b/>
        </w:rPr>
        <w:t>will be taken</w:t>
      </w:r>
      <w:r w:rsidR="004314EC" w:rsidRPr="003A1387">
        <w:rPr>
          <w:b/>
        </w:rPr>
        <w:t xml:space="preserve"> to be a worker</w:t>
      </w:r>
      <w:r w:rsidR="004314EC">
        <w:t xml:space="preserve"> if all of the following requirements are met</w:t>
      </w:r>
      <w:r w:rsidR="00052127">
        <w:t>:</w:t>
      </w:r>
    </w:p>
    <w:p w14:paraId="2EF52F96" w14:textId="7F710246" w:rsidR="004314EC" w:rsidRDefault="004314EC" w:rsidP="00F664BA">
      <w:pPr>
        <w:pStyle w:val="Bodycopy"/>
        <w:spacing w:line="240" w:lineRule="auto"/>
        <w:jc w:val="left"/>
      </w:pPr>
    </w:p>
    <w:p w14:paraId="1E22B461" w14:textId="3537C92A" w:rsidR="00294392" w:rsidRDefault="00294392" w:rsidP="00F664BA">
      <w:pPr>
        <w:pStyle w:val="Bullets"/>
        <w:tabs>
          <w:tab w:val="left" w:pos="426"/>
        </w:tabs>
        <w:spacing w:line="240" w:lineRule="auto"/>
        <w:ind w:left="426" w:hanging="283"/>
        <w:jc w:val="left"/>
      </w:pPr>
      <w:r>
        <w:t xml:space="preserve">The work is performed by 1 person to the contract, arrangement or understanding (the </w:t>
      </w:r>
      <w:r>
        <w:lastRenderedPageBreak/>
        <w:t>worker) in the course of or for the purposes of the trade or business of the other person to contract, arrangement or understanding (the employer).</w:t>
      </w:r>
    </w:p>
    <w:p w14:paraId="281A9F5F" w14:textId="37A7980A" w:rsidR="004314EC" w:rsidRDefault="004314EC" w:rsidP="00F664BA">
      <w:pPr>
        <w:pStyle w:val="Bullets"/>
        <w:tabs>
          <w:tab w:val="left" w:pos="426"/>
        </w:tabs>
        <w:spacing w:line="240" w:lineRule="auto"/>
        <w:ind w:left="426" w:hanging="283"/>
        <w:jc w:val="left"/>
      </w:pPr>
      <w:r>
        <w:t>The work is performed personally by the worker (whether or not the worker supplies tools, plant or equipment) e</w:t>
      </w:r>
      <w:r w:rsidR="00F664BA">
        <w:t>.</w:t>
      </w:r>
      <w:r>
        <w:t>g</w:t>
      </w:r>
      <w:r w:rsidR="00F664BA">
        <w:t>.</w:t>
      </w:r>
      <w:r>
        <w:t xml:space="preserve"> driving a taxi for a licensed taxi operator.</w:t>
      </w:r>
    </w:p>
    <w:p w14:paraId="3D798F23" w14:textId="7C925095" w:rsidR="004314EC" w:rsidRDefault="004314EC" w:rsidP="0030739B">
      <w:pPr>
        <w:pStyle w:val="Bullets"/>
        <w:tabs>
          <w:tab w:val="left" w:pos="426"/>
        </w:tabs>
        <w:spacing w:line="240" w:lineRule="auto"/>
        <w:ind w:left="426" w:hanging="283"/>
        <w:jc w:val="left"/>
      </w:pPr>
      <w:r>
        <w:t>The worker does not employ any other person to carry out any part of the work.</w:t>
      </w:r>
    </w:p>
    <w:p w14:paraId="52ED47E8" w14:textId="1F2B063C" w:rsidR="004314EC" w:rsidRDefault="004314EC" w:rsidP="0030739B">
      <w:pPr>
        <w:pStyle w:val="Bullets"/>
        <w:tabs>
          <w:tab w:val="left" w:pos="426"/>
        </w:tabs>
        <w:spacing w:line="240" w:lineRule="auto"/>
        <w:ind w:left="426" w:hanging="283"/>
        <w:jc w:val="left"/>
      </w:pPr>
      <w:r>
        <w:t xml:space="preserve">The value of materials supplied or expected to </w:t>
      </w:r>
      <w:r w:rsidR="00E437CD">
        <w:t>be supplied in 20</w:t>
      </w:r>
      <w:r w:rsidR="00743D0F">
        <w:t>2</w:t>
      </w:r>
      <w:r w:rsidR="00852A18">
        <w:t>6</w:t>
      </w:r>
      <w:r w:rsidR="00743D0F">
        <w:t xml:space="preserve"> does not exceed $1</w:t>
      </w:r>
      <w:r w:rsidR="00ED68AA">
        <w:t>6</w:t>
      </w:r>
      <w:r w:rsidR="00852A18">
        <w:t>5</w:t>
      </w:r>
      <w:r w:rsidR="00287176">
        <w:t xml:space="preserve"> </w:t>
      </w:r>
      <w:r>
        <w:t>(indexed).</w:t>
      </w:r>
    </w:p>
    <w:p w14:paraId="73EC68AB" w14:textId="2D713084" w:rsidR="004314EC" w:rsidRDefault="004314EC" w:rsidP="0030739B">
      <w:pPr>
        <w:pStyle w:val="Bullets"/>
        <w:tabs>
          <w:tab w:val="left" w:pos="426"/>
        </w:tabs>
        <w:spacing w:line="240" w:lineRule="auto"/>
        <w:ind w:left="426" w:hanging="283"/>
        <w:jc w:val="left"/>
      </w:pPr>
      <w:r>
        <w:t xml:space="preserve">The worker does not hold or lease a </w:t>
      </w:r>
      <w:r w:rsidR="00AA752B">
        <w:t>license</w:t>
      </w:r>
      <w:r w:rsidR="00180585">
        <w:t xml:space="preserve"> issued</w:t>
      </w:r>
      <w:r>
        <w:t xml:space="preserve"> in relation to the vehicle.</w:t>
      </w:r>
    </w:p>
    <w:p w14:paraId="4F785CB5" w14:textId="77777777" w:rsidR="004314EC" w:rsidRPr="0030739B" w:rsidRDefault="004314EC" w:rsidP="00F664BA">
      <w:pPr>
        <w:pStyle w:val="Bodycopy"/>
        <w:spacing w:line="240" w:lineRule="auto"/>
        <w:jc w:val="left"/>
      </w:pPr>
    </w:p>
    <w:p w14:paraId="57897DDE" w14:textId="643746C7" w:rsidR="004314EC" w:rsidRPr="0030739B" w:rsidRDefault="004314EC" w:rsidP="00F664BA">
      <w:pPr>
        <w:pStyle w:val="Bodycopy"/>
        <w:spacing w:line="240" w:lineRule="auto"/>
        <w:jc w:val="left"/>
      </w:pPr>
      <w:r w:rsidRPr="0030739B">
        <w:t>A taxi driver who supplies fuel such as LPG, diesel or petrol would be considered to have supplied materials for the purpose of this r</w:t>
      </w:r>
      <w:r w:rsidR="00537DAA">
        <w:t>egulation and therefore the $1</w:t>
      </w:r>
      <w:r w:rsidR="005E349F">
        <w:t>6</w:t>
      </w:r>
      <w:r w:rsidR="00852A18">
        <w:t>5</w:t>
      </w:r>
      <w:r w:rsidRPr="0030739B">
        <w:t xml:space="preserve"> amount is relevant</w:t>
      </w:r>
    </w:p>
    <w:p w14:paraId="50AE9FFD" w14:textId="77777777" w:rsidR="004314EC" w:rsidRDefault="004314EC" w:rsidP="00F664BA">
      <w:pPr>
        <w:pStyle w:val="Bodycopy"/>
        <w:spacing w:line="240" w:lineRule="auto"/>
        <w:jc w:val="left"/>
      </w:pPr>
    </w:p>
    <w:p w14:paraId="402AE2EE" w14:textId="1F8694B6" w:rsidR="00AA752B" w:rsidRPr="0030739B" w:rsidRDefault="004314EC" w:rsidP="00FB28E6">
      <w:pPr>
        <w:pStyle w:val="Bodycopy"/>
        <w:spacing w:after="120" w:line="240" w:lineRule="auto"/>
        <w:jc w:val="left"/>
      </w:pPr>
      <w:r w:rsidRPr="0030739B">
        <w:t>There are two types of arrangements under</w:t>
      </w:r>
      <w:r w:rsidR="0030739B">
        <w:t xml:space="preserve"> which a driver can be employed:</w:t>
      </w:r>
    </w:p>
    <w:p w14:paraId="09078603" w14:textId="1C0CA06D" w:rsidR="004314EC" w:rsidRDefault="004314EC" w:rsidP="003B2C6E">
      <w:pPr>
        <w:pStyle w:val="Bodycopy"/>
        <w:numPr>
          <w:ilvl w:val="0"/>
          <w:numId w:val="5"/>
        </w:numPr>
        <w:spacing w:line="240" w:lineRule="auto"/>
        <w:ind w:left="426"/>
        <w:jc w:val="left"/>
      </w:pPr>
      <w:r w:rsidRPr="0030739B">
        <w:rPr>
          <w:b/>
        </w:rPr>
        <w:t>Share of takings</w:t>
      </w:r>
      <w:r w:rsidR="0030739B" w:rsidRPr="0030739B">
        <w:t>:</w:t>
      </w:r>
      <w:r w:rsidR="0030739B">
        <w:t xml:space="preserve"> </w:t>
      </w:r>
      <w:r>
        <w:t>Drivers employed under this arrangement do not generally supply materials although there are exceptions. Regardless of the requirement to supply materials, a taxi driver may</w:t>
      </w:r>
      <w:r w:rsidR="00E437CD">
        <w:t xml:space="preserve"> be considered a worker under a </w:t>
      </w:r>
      <w:r>
        <w:t>contract of service.</w:t>
      </w:r>
    </w:p>
    <w:p w14:paraId="7F34BEE0" w14:textId="77777777" w:rsidR="00E437CD" w:rsidRDefault="00E437CD" w:rsidP="00FB28E6">
      <w:pPr>
        <w:pStyle w:val="Bodycopy"/>
        <w:spacing w:line="240" w:lineRule="auto"/>
        <w:ind w:left="66"/>
        <w:jc w:val="left"/>
      </w:pPr>
    </w:p>
    <w:p w14:paraId="6A0711BF" w14:textId="77777777" w:rsidR="00985D8C" w:rsidRDefault="00E85CC3" w:rsidP="0030739B">
      <w:pPr>
        <w:pStyle w:val="Bodycopy"/>
        <w:numPr>
          <w:ilvl w:val="0"/>
          <w:numId w:val="5"/>
        </w:numPr>
        <w:spacing w:line="240" w:lineRule="auto"/>
        <w:ind w:left="426"/>
        <w:jc w:val="left"/>
      </w:pPr>
      <w:r>
        <w:rPr>
          <w:b/>
        </w:rPr>
        <w:t>Bailment</w:t>
      </w:r>
      <w:r w:rsidR="0030739B" w:rsidRPr="0030739B">
        <w:rPr>
          <w:b/>
        </w:rPr>
        <w:t xml:space="preserve"> a</w:t>
      </w:r>
      <w:r w:rsidR="004314EC" w:rsidRPr="0030739B">
        <w:rPr>
          <w:b/>
        </w:rPr>
        <w:t>greements</w:t>
      </w:r>
      <w:r w:rsidR="0030739B" w:rsidRPr="0030739B">
        <w:rPr>
          <w:b/>
        </w:rPr>
        <w:t xml:space="preserve">: </w:t>
      </w:r>
      <w:r w:rsidR="004314EC" w:rsidRPr="0030739B">
        <w:t xml:space="preserve">A </w:t>
      </w:r>
      <w:r w:rsidR="003351DC">
        <w:t>bailment</w:t>
      </w:r>
      <w:r w:rsidR="004314EC" w:rsidRPr="0030739B">
        <w:t xml:space="preserve"> agreement must be consistent in its terms with the formal agreement held by the Taxi Council SA Inc</w:t>
      </w:r>
      <w:r w:rsidR="00343A8C">
        <w:t xml:space="preserve">. A </w:t>
      </w:r>
      <w:r w:rsidR="003351DC">
        <w:t>bailment</w:t>
      </w:r>
      <w:r w:rsidR="00343A8C">
        <w:t xml:space="preserve"> agreement puts the taxi in the hands of the driver for the shift – </w:t>
      </w:r>
      <w:r w:rsidR="0096734A">
        <w:t>they are</w:t>
      </w:r>
      <w:r w:rsidR="00343A8C">
        <w:t xml:space="preserve"> not driving for the purposes of the trade or b</w:t>
      </w:r>
      <w:r w:rsidR="0096734A">
        <w:t>usiness of the taxi owner but themselves</w:t>
      </w:r>
      <w:r w:rsidR="00343A8C">
        <w:t xml:space="preserve">. </w:t>
      </w:r>
      <w:r w:rsidR="000C75AA">
        <w:t xml:space="preserve">A driver under </w:t>
      </w:r>
      <w:r w:rsidR="00343A8C">
        <w:t xml:space="preserve">a </w:t>
      </w:r>
      <w:r w:rsidR="00E76461">
        <w:t>bailment</w:t>
      </w:r>
      <w:r w:rsidR="00343A8C">
        <w:t xml:space="preserve"> agreement would generally not be considered to be a worker.</w:t>
      </w:r>
    </w:p>
    <w:p w14:paraId="2C40BB95" w14:textId="77777777" w:rsidR="00985D8C" w:rsidRDefault="00985D8C" w:rsidP="00985D8C">
      <w:pPr>
        <w:pStyle w:val="ListParagraph"/>
      </w:pPr>
    </w:p>
    <w:p w14:paraId="7F558803" w14:textId="4A690BE2" w:rsidR="004314EC" w:rsidRPr="0030739B" w:rsidRDefault="004314EC" w:rsidP="00985D8C">
      <w:pPr>
        <w:pStyle w:val="Bodycopy"/>
        <w:spacing w:line="240" w:lineRule="auto"/>
        <w:jc w:val="left"/>
      </w:pPr>
      <w:r w:rsidRPr="0030739B">
        <w:t xml:space="preserve">Where the driver is not engaged under a shift </w:t>
      </w:r>
      <w:r w:rsidR="00E76461">
        <w:t xml:space="preserve">or bailment </w:t>
      </w:r>
      <w:r w:rsidRPr="0030739B">
        <w:t>agreement (as described) the engagement is most likely to be regarded as a contract of service.</w:t>
      </w:r>
    </w:p>
    <w:p w14:paraId="0F4FCDBC" w14:textId="77777777" w:rsidR="004314EC" w:rsidRDefault="004314EC" w:rsidP="00F664BA">
      <w:pPr>
        <w:pStyle w:val="Bodycopy"/>
        <w:spacing w:line="240" w:lineRule="auto"/>
        <w:jc w:val="left"/>
      </w:pPr>
    </w:p>
    <w:p w14:paraId="039460DE" w14:textId="6838D4A7" w:rsidR="004314EC" w:rsidRDefault="004314EC" w:rsidP="00F664BA">
      <w:pPr>
        <w:pStyle w:val="Bodycopy"/>
        <w:spacing w:line="240" w:lineRule="auto"/>
        <w:jc w:val="left"/>
      </w:pPr>
      <w:r>
        <w:t>If further clarification is needed please contact R</w:t>
      </w:r>
      <w:r w:rsidR="0030739B">
        <w:t>eturn</w:t>
      </w:r>
      <w:r>
        <w:t>T</w:t>
      </w:r>
      <w:r w:rsidR="0030739B">
        <w:t>o</w:t>
      </w:r>
      <w:r>
        <w:t>W</w:t>
      </w:r>
      <w:r w:rsidR="0030739B">
        <w:t>ork</w:t>
      </w:r>
      <w:r>
        <w:t>SA on 13 18 55 for assistance to establish if a contract of service exists.</w:t>
      </w:r>
    </w:p>
    <w:p w14:paraId="69663F3E" w14:textId="77777777" w:rsidR="0030739B" w:rsidRDefault="0030739B" w:rsidP="00F664BA">
      <w:pPr>
        <w:pStyle w:val="Bodycopy"/>
        <w:spacing w:line="240" w:lineRule="auto"/>
        <w:jc w:val="left"/>
      </w:pPr>
    </w:p>
    <w:p w14:paraId="129527F6" w14:textId="77777777" w:rsidR="0030739B" w:rsidRDefault="0030739B" w:rsidP="00F664BA">
      <w:pPr>
        <w:pStyle w:val="Bodycopy"/>
        <w:spacing w:line="240" w:lineRule="auto"/>
        <w:jc w:val="left"/>
      </w:pPr>
    </w:p>
    <w:p w14:paraId="19D3B638" w14:textId="77777777" w:rsidR="0096734A" w:rsidRDefault="0096734A" w:rsidP="00F664BA">
      <w:pPr>
        <w:pStyle w:val="Bodycopy"/>
        <w:spacing w:line="240" w:lineRule="auto"/>
        <w:jc w:val="left"/>
      </w:pPr>
    </w:p>
    <w:p w14:paraId="6A022FC0" w14:textId="77777777" w:rsidR="0096734A" w:rsidRDefault="0096734A" w:rsidP="00F664BA">
      <w:pPr>
        <w:pStyle w:val="Bodycopy"/>
        <w:spacing w:line="240" w:lineRule="auto"/>
        <w:jc w:val="left"/>
      </w:pPr>
    </w:p>
    <w:p w14:paraId="70EEB56F" w14:textId="77777777" w:rsidR="0096734A" w:rsidRDefault="0096734A" w:rsidP="00F664BA">
      <w:pPr>
        <w:pStyle w:val="Bodycopy"/>
        <w:spacing w:line="240" w:lineRule="auto"/>
        <w:jc w:val="left"/>
      </w:pPr>
    </w:p>
    <w:p w14:paraId="10B3579E" w14:textId="77777777" w:rsidR="0096734A" w:rsidRDefault="0096734A" w:rsidP="00F664BA">
      <w:pPr>
        <w:pStyle w:val="Bodycopy"/>
        <w:spacing w:line="240" w:lineRule="auto"/>
        <w:jc w:val="left"/>
      </w:pPr>
    </w:p>
    <w:p w14:paraId="4B34F847" w14:textId="77777777" w:rsidR="0096734A" w:rsidRDefault="0096734A" w:rsidP="00F664BA">
      <w:pPr>
        <w:pStyle w:val="Bodycopy"/>
        <w:spacing w:line="240" w:lineRule="auto"/>
        <w:jc w:val="left"/>
      </w:pPr>
    </w:p>
    <w:p w14:paraId="4A259841" w14:textId="77777777" w:rsidR="0096734A" w:rsidRDefault="0096734A" w:rsidP="00F664BA">
      <w:pPr>
        <w:pStyle w:val="Bodycopy"/>
        <w:spacing w:line="240" w:lineRule="auto"/>
        <w:jc w:val="left"/>
      </w:pPr>
    </w:p>
    <w:p w14:paraId="579E42CE" w14:textId="77777777" w:rsidR="0096734A" w:rsidRDefault="0096734A" w:rsidP="00F664BA">
      <w:pPr>
        <w:pStyle w:val="Bodycopy"/>
        <w:spacing w:line="240" w:lineRule="auto"/>
        <w:jc w:val="left"/>
      </w:pPr>
    </w:p>
    <w:p w14:paraId="5A78A11E" w14:textId="77777777" w:rsidR="0096734A" w:rsidRDefault="0096734A" w:rsidP="00F664BA">
      <w:pPr>
        <w:pStyle w:val="Bodycopy"/>
        <w:spacing w:line="240" w:lineRule="auto"/>
        <w:jc w:val="left"/>
      </w:pPr>
    </w:p>
    <w:p w14:paraId="60C9F44E" w14:textId="77777777" w:rsidR="0096734A" w:rsidRDefault="0096734A" w:rsidP="00F664BA">
      <w:pPr>
        <w:pStyle w:val="Bodycopy"/>
        <w:spacing w:line="240" w:lineRule="auto"/>
        <w:jc w:val="left"/>
      </w:pPr>
    </w:p>
    <w:p w14:paraId="168F46CE" w14:textId="77777777" w:rsidR="00F664BA" w:rsidRDefault="00F664BA" w:rsidP="00F27FCE">
      <w:pPr>
        <w:pStyle w:val="Heading1"/>
        <w:rPr>
          <w:sz w:val="44"/>
          <w:szCs w:val="44"/>
        </w:rPr>
        <w:sectPr w:rsidR="00F664BA" w:rsidSect="00F664BA">
          <w:type w:val="continuous"/>
          <w:pgSz w:w="11900" w:h="16840" w:code="9"/>
          <w:pgMar w:top="794" w:right="794" w:bottom="737" w:left="794" w:header="794" w:footer="737" w:gutter="0"/>
          <w:cols w:num="2" w:space="674"/>
          <w:titlePg/>
          <w:docGrid w:linePitch="360"/>
        </w:sectPr>
      </w:pPr>
    </w:p>
    <w:p w14:paraId="30A2CC9D" w14:textId="77777777" w:rsidR="0030739B" w:rsidRDefault="0030739B" w:rsidP="0030739B"/>
    <w:p w14:paraId="709060A0" w14:textId="77777777" w:rsidR="0030739B" w:rsidRDefault="0030739B" w:rsidP="0030739B"/>
    <w:p w14:paraId="0ED2E695" w14:textId="77777777" w:rsidR="0030739B" w:rsidRDefault="0030739B" w:rsidP="0030739B"/>
    <w:p w14:paraId="61E5DC8C" w14:textId="77777777" w:rsidR="00AA752B" w:rsidRDefault="00AA752B" w:rsidP="0030739B"/>
    <w:p w14:paraId="4A4ADAB3" w14:textId="77777777" w:rsidR="00AA752B" w:rsidRDefault="00AA752B" w:rsidP="0030739B"/>
    <w:p w14:paraId="34B4D7D3" w14:textId="77777777" w:rsidR="00AA752B" w:rsidRDefault="00AA752B" w:rsidP="0030739B"/>
    <w:p w14:paraId="18C8887B" w14:textId="77777777" w:rsidR="00AA752B" w:rsidRDefault="00AA752B" w:rsidP="0030739B"/>
    <w:p w14:paraId="60288D74" w14:textId="77777777" w:rsidR="00AA752B" w:rsidRDefault="00AA752B" w:rsidP="0030739B"/>
    <w:p w14:paraId="0EC792E1" w14:textId="77777777" w:rsidR="00AA752B" w:rsidRDefault="00AA752B" w:rsidP="0030739B"/>
    <w:p w14:paraId="195A7F42" w14:textId="77777777" w:rsidR="00AA752B" w:rsidRDefault="00AA752B" w:rsidP="0030739B"/>
    <w:p w14:paraId="3FD0BF53" w14:textId="77777777" w:rsidR="00AA752B" w:rsidRDefault="00AA752B" w:rsidP="0030739B"/>
    <w:p w14:paraId="65BEF267" w14:textId="77777777" w:rsidR="0030739B" w:rsidRPr="0030739B" w:rsidRDefault="0030739B" w:rsidP="0030739B"/>
    <w:bookmarkEnd w:id="19"/>
    <w:p w14:paraId="1A189F4C" w14:textId="77777777" w:rsidR="00F664BA" w:rsidRPr="001826F0" w:rsidRDefault="00F664BA" w:rsidP="00F664BA">
      <w:pPr>
        <w:pStyle w:val="Heading1"/>
        <w:spacing w:line="240" w:lineRule="auto"/>
        <w:rPr>
          <w:sz w:val="20"/>
          <w:szCs w:val="20"/>
        </w:rPr>
      </w:pPr>
      <w:r w:rsidRPr="001826F0">
        <w:rPr>
          <w:sz w:val="20"/>
          <w:szCs w:val="20"/>
        </w:rPr>
        <w:t>Disclaimer</w:t>
      </w:r>
    </w:p>
    <w:p w14:paraId="3DA3F596" w14:textId="3011058F" w:rsidR="00F664BA" w:rsidRPr="001826F0" w:rsidRDefault="00F664BA" w:rsidP="00F664BA">
      <w:pPr>
        <w:pStyle w:val="Bodycopy"/>
        <w:spacing w:line="240" w:lineRule="auto"/>
        <w:jc w:val="left"/>
        <w:rPr>
          <w:sz w:val="20"/>
          <w:szCs w:val="20"/>
        </w:rPr>
      </w:pPr>
      <w:r w:rsidRPr="001826F0">
        <w:rPr>
          <w:sz w:val="20"/>
          <w:szCs w:val="20"/>
        </w:rPr>
        <w:t>The information produced by ReturnToWorkSA in this publication is correct at the time of printing and is provided as general information only</w:t>
      </w:r>
      <w:r w:rsidR="009123CF">
        <w:rPr>
          <w:sz w:val="20"/>
          <w:szCs w:val="20"/>
        </w:rPr>
        <w:t xml:space="preserve"> and not as legal advice</w:t>
      </w:r>
      <w:r w:rsidRPr="001826F0">
        <w:rPr>
          <w:sz w:val="20"/>
          <w:szCs w:val="20"/>
        </w:rPr>
        <w:t>. In utilising general information about workplace health and safety and work injury management, the specific issues relevant to your workplace should always be considered</w:t>
      </w:r>
      <w:r w:rsidR="009123CF">
        <w:rPr>
          <w:sz w:val="20"/>
          <w:szCs w:val="20"/>
        </w:rPr>
        <w:t xml:space="preserve"> and advice obtained</w:t>
      </w:r>
      <w:r w:rsidRPr="001826F0">
        <w:rPr>
          <w:sz w:val="20"/>
          <w:szCs w:val="20"/>
        </w:rPr>
        <w:t xml:space="preserve">. This publication is not intended as a substitute for the requirements of the </w:t>
      </w:r>
      <w:r w:rsidRPr="001826F0">
        <w:rPr>
          <w:i/>
          <w:iCs/>
          <w:sz w:val="20"/>
          <w:szCs w:val="20"/>
        </w:rPr>
        <w:t xml:space="preserve">Return to Work Act 2014 </w:t>
      </w:r>
      <w:r w:rsidRPr="001826F0">
        <w:rPr>
          <w:sz w:val="20"/>
          <w:szCs w:val="20"/>
        </w:rPr>
        <w:t xml:space="preserve">or the </w:t>
      </w:r>
      <w:r w:rsidRPr="001826F0">
        <w:rPr>
          <w:i/>
          <w:iCs/>
          <w:sz w:val="20"/>
          <w:szCs w:val="20"/>
        </w:rPr>
        <w:t>Work Health and Safety Act 2012.</w:t>
      </w:r>
    </w:p>
    <w:sectPr w:rsidR="00F664BA" w:rsidRPr="001826F0" w:rsidSect="00F27FCE">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040F" w14:textId="77777777" w:rsidR="00515DEC" w:rsidRDefault="00515DEC" w:rsidP="00365C6A">
      <w:r>
        <w:separator/>
      </w:r>
    </w:p>
  </w:endnote>
  <w:endnote w:type="continuationSeparator" w:id="0">
    <w:p w14:paraId="539E3341" w14:textId="77777777" w:rsidR="00515DEC" w:rsidRDefault="00515DEC"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1298" w14:textId="77777777" w:rsidR="00C424D0" w:rsidRDefault="00C42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A87" w14:textId="77777777" w:rsidR="00896D98" w:rsidRDefault="00896D98" w:rsidP="00E27E27">
    <w:pPr>
      <w:pStyle w:val="Footer"/>
      <w:jc w:val="center"/>
    </w:pPr>
    <w:r>
      <w:rPr>
        <w:noProof/>
        <w:lang w:val="en-AU" w:eastAsia="en-AU"/>
      </w:rPr>
      <w:drawing>
        <wp:inline distT="0" distB="0" distL="0" distR="0" wp14:anchorId="6785267A" wp14:editId="7A2200DD">
          <wp:extent cx="6548120" cy="49276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0DB" w14:textId="77777777" w:rsidR="00896D98" w:rsidRDefault="00896D98" w:rsidP="00E42687">
    <w:pPr>
      <w:pStyle w:val="Footer"/>
      <w:jc w:val="center"/>
    </w:pPr>
    <w:r>
      <w:rPr>
        <w:noProof/>
        <w:lang w:val="en-AU" w:eastAsia="en-AU"/>
      </w:rPr>
      <w:drawing>
        <wp:inline distT="0" distB="0" distL="0" distR="0" wp14:anchorId="79BEB17C" wp14:editId="23ABE459">
          <wp:extent cx="6548120" cy="5784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649F" w14:textId="77777777" w:rsidR="00515DEC" w:rsidRDefault="00515DEC" w:rsidP="00365C6A">
      <w:r>
        <w:separator/>
      </w:r>
    </w:p>
  </w:footnote>
  <w:footnote w:type="continuationSeparator" w:id="0">
    <w:p w14:paraId="072395B1" w14:textId="77777777" w:rsidR="00515DEC" w:rsidRDefault="00515DEC"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3BE6" w14:textId="001002DF" w:rsidR="00852A18" w:rsidRDefault="00852A18">
    <w:pPr>
      <w:pStyle w:val="Header"/>
    </w:pPr>
    <w:r>
      <w:rPr>
        <w:noProof/>
      </w:rPr>
      <mc:AlternateContent>
        <mc:Choice Requires="wps">
          <w:drawing>
            <wp:anchor distT="0" distB="0" distL="114300" distR="114300" simplePos="0" relativeHeight="251661312" behindDoc="0" locked="1" layoutInCell="0" allowOverlap="1" wp14:anchorId="014ADABD" wp14:editId="7FC9FEEF">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334643231"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95913" w14:textId="31366D27"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4ADABD"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05C95913" w14:textId="31366D27"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9E77" w14:textId="0D717D1F" w:rsidR="00852A18" w:rsidRDefault="00852A18">
    <w:pPr>
      <w:pStyle w:val="Header"/>
    </w:pPr>
    <w:r>
      <w:rPr>
        <w:noProof/>
      </w:rPr>
      <mc:AlternateContent>
        <mc:Choice Requires="wps">
          <w:drawing>
            <wp:anchor distT="0" distB="0" distL="114300" distR="114300" simplePos="0" relativeHeight="251659264" behindDoc="0" locked="1" layoutInCell="0" allowOverlap="1" wp14:anchorId="55D9C99B" wp14:editId="4ED333E6">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78797755"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6DAD1" w14:textId="60113DBF"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D9C99B"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5A26DAD1" w14:textId="60113DBF"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BF6" w14:textId="11D2A454" w:rsidR="00896D98" w:rsidRDefault="00852A18"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58F6DEF7" wp14:editId="107AC2D3">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062124611"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81432" w14:textId="5CCEACDA"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8F6DEF7"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BA81432" w14:textId="5CCEACDA" w:rsidR="00852A18" w:rsidRPr="00852A18" w:rsidRDefault="00852A18" w:rsidP="00C424D0">
                    <w:pPr>
                      <w:jc w:val="center"/>
                      <w:rPr>
                        <w:rFonts w:ascii="Arial" w:hAnsi="Arial" w:cs="Arial"/>
                        <w:b/>
                        <w:color w:val="FF0000"/>
                        <w:sz w:val="20"/>
                      </w:rPr>
                    </w:pPr>
                    <w:r w:rsidRPr="00852A18">
                      <w:rPr>
                        <w:rFonts w:ascii="Arial" w:hAnsi="Arial" w:cs="Arial"/>
                        <w:b/>
                        <w:color w:val="FF0000"/>
                        <w:sz w:val="20"/>
                      </w:rPr>
                      <w:fldChar w:fldCharType="begin"/>
                    </w:r>
                    <w:r w:rsidRPr="00852A18">
                      <w:rPr>
                        <w:rFonts w:ascii="Arial" w:hAnsi="Arial" w:cs="Arial"/>
                        <w:b/>
                        <w:color w:val="FF0000"/>
                        <w:sz w:val="20"/>
                      </w:rPr>
                      <w:instrText xml:space="preserve"> DOCPROPERTY PM_ProtectiveMarkingValue_Header \* MERGEFORMAT </w:instrText>
                    </w:r>
                    <w:r w:rsidRPr="00852A18">
                      <w:rPr>
                        <w:rFonts w:ascii="Arial" w:hAnsi="Arial" w:cs="Arial"/>
                        <w:b/>
                        <w:color w:val="FF0000"/>
                        <w:sz w:val="20"/>
                      </w:rPr>
                      <w:fldChar w:fldCharType="separate"/>
                    </w:r>
                    <w:r w:rsidR="00C424D0">
                      <w:rPr>
                        <w:rFonts w:ascii="Arial" w:hAnsi="Arial" w:cs="Arial"/>
                        <w:b/>
                        <w:color w:val="FF0000"/>
                        <w:sz w:val="20"/>
                      </w:rPr>
                      <w:t>OFFICIAL</w:t>
                    </w:r>
                    <w:r w:rsidRPr="00852A18">
                      <w:rPr>
                        <w:rFonts w:ascii="Arial" w:hAnsi="Arial" w:cs="Arial"/>
                        <w:b/>
                        <w:color w:val="FF0000"/>
                        <w:sz w:val="20"/>
                      </w:rPr>
                      <w:fldChar w:fldCharType="end"/>
                    </w:r>
                  </w:p>
                </w:txbxContent>
              </v:textbox>
              <w10:wrap type="through" anchorx="margin" anchory="margin"/>
              <w10:anchorlock/>
            </v:shape>
          </w:pict>
        </mc:Fallback>
      </mc:AlternateContent>
    </w:r>
    <w:r w:rsidR="00896D98">
      <w:rPr>
        <w:noProof/>
        <w:lang w:val="en-AU" w:eastAsia="en-AU"/>
      </w:rPr>
      <w:drawing>
        <wp:inline distT="0" distB="0" distL="0" distR="0" wp14:anchorId="058829BB" wp14:editId="53B59FC2">
          <wp:extent cx="6548120" cy="82804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257B78"/>
    <w:multiLevelType w:val="hybridMultilevel"/>
    <w:tmpl w:val="97144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728132A"/>
    <w:multiLevelType w:val="hybridMultilevel"/>
    <w:tmpl w:val="DFCA0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9261464">
    <w:abstractNumId w:val="0"/>
  </w:num>
  <w:num w:numId="2" w16cid:durableId="1358657851">
    <w:abstractNumId w:val="2"/>
  </w:num>
  <w:num w:numId="3" w16cid:durableId="1096636574">
    <w:abstractNumId w:val="1"/>
  </w:num>
  <w:num w:numId="4" w16cid:durableId="766776726">
    <w:abstractNumId w:val="0"/>
  </w:num>
  <w:num w:numId="5" w16cid:durableId="1682856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41F20"/>
    <w:rsid w:val="00052127"/>
    <w:rsid w:val="000824B2"/>
    <w:rsid w:val="000C1F87"/>
    <w:rsid w:val="000C2112"/>
    <w:rsid w:val="000C706D"/>
    <w:rsid w:val="000C75AA"/>
    <w:rsid w:val="000D3EAD"/>
    <w:rsid w:val="00101217"/>
    <w:rsid w:val="00112900"/>
    <w:rsid w:val="001327FF"/>
    <w:rsid w:val="00140E6B"/>
    <w:rsid w:val="00150911"/>
    <w:rsid w:val="00180585"/>
    <w:rsid w:val="00184278"/>
    <w:rsid w:val="001873DB"/>
    <w:rsid w:val="00194998"/>
    <w:rsid w:val="00195455"/>
    <w:rsid w:val="001E25C6"/>
    <w:rsid w:val="002218AC"/>
    <w:rsid w:val="00280EC5"/>
    <w:rsid w:val="00287176"/>
    <w:rsid w:val="002935F5"/>
    <w:rsid w:val="00294392"/>
    <w:rsid w:val="002A0B64"/>
    <w:rsid w:val="0030739B"/>
    <w:rsid w:val="00332233"/>
    <w:rsid w:val="003351DC"/>
    <w:rsid w:val="00343A8C"/>
    <w:rsid w:val="00365C6A"/>
    <w:rsid w:val="003779DA"/>
    <w:rsid w:val="00384379"/>
    <w:rsid w:val="003A27BE"/>
    <w:rsid w:val="003A5C39"/>
    <w:rsid w:val="003B2C6E"/>
    <w:rsid w:val="003B7F24"/>
    <w:rsid w:val="003F0B00"/>
    <w:rsid w:val="004314EC"/>
    <w:rsid w:val="00446E3B"/>
    <w:rsid w:val="00491E91"/>
    <w:rsid w:val="004C0D84"/>
    <w:rsid w:val="00500305"/>
    <w:rsid w:val="00515DEC"/>
    <w:rsid w:val="00516F8A"/>
    <w:rsid w:val="00522391"/>
    <w:rsid w:val="00531BC0"/>
    <w:rsid w:val="005330C7"/>
    <w:rsid w:val="00537DAA"/>
    <w:rsid w:val="00585A81"/>
    <w:rsid w:val="00597EDE"/>
    <w:rsid w:val="005B54A7"/>
    <w:rsid w:val="005E349F"/>
    <w:rsid w:val="005E5DAA"/>
    <w:rsid w:val="00630806"/>
    <w:rsid w:val="006741C9"/>
    <w:rsid w:val="0067696D"/>
    <w:rsid w:val="00677B28"/>
    <w:rsid w:val="0068158A"/>
    <w:rsid w:val="00697756"/>
    <w:rsid w:val="00743D0F"/>
    <w:rsid w:val="007A5C13"/>
    <w:rsid w:val="008135B0"/>
    <w:rsid w:val="00852A18"/>
    <w:rsid w:val="00872A9C"/>
    <w:rsid w:val="00896D98"/>
    <w:rsid w:val="008B253F"/>
    <w:rsid w:val="008D5F4A"/>
    <w:rsid w:val="00904AE1"/>
    <w:rsid w:val="009123CF"/>
    <w:rsid w:val="00920F0C"/>
    <w:rsid w:val="00954BBA"/>
    <w:rsid w:val="009559CA"/>
    <w:rsid w:val="0096734A"/>
    <w:rsid w:val="009743B8"/>
    <w:rsid w:val="00985D8C"/>
    <w:rsid w:val="009966A2"/>
    <w:rsid w:val="009A49B9"/>
    <w:rsid w:val="009C1777"/>
    <w:rsid w:val="00A016E7"/>
    <w:rsid w:val="00A16F70"/>
    <w:rsid w:val="00A2243E"/>
    <w:rsid w:val="00A23263"/>
    <w:rsid w:val="00A40AB6"/>
    <w:rsid w:val="00AA5A66"/>
    <w:rsid w:val="00AA752B"/>
    <w:rsid w:val="00AE311B"/>
    <w:rsid w:val="00B0617E"/>
    <w:rsid w:val="00B23400"/>
    <w:rsid w:val="00B445B8"/>
    <w:rsid w:val="00B6738A"/>
    <w:rsid w:val="00BF6BBF"/>
    <w:rsid w:val="00C051EB"/>
    <w:rsid w:val="00C13A5F"/>
    <w:rsid w:val="00C365A6"/>
    <w:rsid w:val="00C4012B"/>
    <w:rsid w:val="00C424D0"/>
    <w:rsid w:val="00C521B7"/>
    <w:rsid w:val="00C55A07"/>
    <w:rsid w:val="00C67E1D"/>
    <w:rsid w:val="00C67EE8"/>
    <w:rsid w:val="00CD2113"/>
    <w:rsid w:val="00CE11E9"/>
    <w:rsid w:val="00CE5996"/>
    <w:rsid w:val="00D074B6"/>
    <w:rsid w:val="00D1171E"/>
    <w:rsid w:val="00D467E4"/>
    <w:rsid w:val="00D4773F"/>
    <w:rsid w:val="00D54FF1"/>
    <w:rsid w:val="00D60C97"/>
    <w:rsid w:val="00D92E51"/>
    <w:rsid w:val="00DB74BB"/>
    <w:rsid w:val="00DC6B0C"/>
    <w:rsid w:val="00DD0D58"/>
    <w:rsid w:val="00E13D29"/>
    <w:rsid w:val="00E27E27"/>
    <w:rsid w:val="00E42687"/>
    <w:rsid w:val="00E437CD"/>
    <w:rsid w:val="00E50C93"/>
    <w:rsid w:val="00E76461"/>
    <w:rsid w:val="00E85CC3"/>
    <w:rsid w:val="00EA26A1"/>
    <w:rsid w:val="00EA46FB"/>
    <w:rsid w:val="00EB1A3D"/>
    <w:rsid w:val="00EB2E74"/>
    <w:rsid w:val="00ED68AA"/>
    <w:rsid w:val="00F27FCE"/>
    <w:rsid w:val="00F3195B"/>
    <w:rsid w:val="00F35C2B"/>
    <w:rsid w:val="00F404EA"/>
    <w:rsid w:val="00F664BA"/>
    <w:rsid w:val="00FB28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8E5EF"/>
  <w14:defaultImageDpi w14:val="300"/>
  <w15:docId w15:val="{797E1DE5-E5BE-433B-A3E2-1CA90965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 w:type="paragraph" w:styleId="CommentSubject">
    <w:name w:val="annotation subject"/>
    <w:basedOn w:val="CommentText"/>
    <w:next w:val="CommentText"/>
    <w:link w:val="CommentSubjectChar"/>
    <w:uiPriority w:val="99"/>
    <w:semiHidden/>
    <w:unhideWhenUsed/>
    <w:rsid w:val="005B54A7"/>
    <w:pPr>
      <w:widowControl w:val="0"/>
      <w:suppressAutoHyphens/>
      <w:autoSpaceDE w:val="0"/>
      <w:autoSpaceDN w:val="0"/>
      <w:adjustRightInd w:val="0"/>
      <w:textAlignment w:val="center"/>
    </w:pPr>
    <w:rPr>
      <w:rFonts w:ascii="Source Sans Pro" w:hAnsi="Source Sans Pro" w:cs="SourceSansPro-Light"/>
      <w:b/>
      <w:bCs/>
      <w:color w:val="000000"/>
      <w:lang w:val="en-US"/>
    </w:rPr>
  </w:style>
  <w:style w:type="character" w:customStyle="1" w:styleId="CommentSubjectChar">
    <w:name w:val="Comment Subject Char"/>
    <w:basedOn w:val="CommentTextChar"/>
    <w:link w:val="CommentSubject"/>
    <w:uiPriority w:val="99"/>
    <w:semiHidden/>
    <w:rsid w:val="005B54A7"/>
    <w:rPr>
      <w:rFonts w:ascii="Source Sans Pro" w:hAnsi="Source Sans Pro" w:cs="SourceSansPro-Light"/>
      <w:b/>
      <w:bCs/>
      <w:color w:val="000000"/>
      <w:sz w:val="20"/>
      <w:szCs w:val="20"/>
      <w:lang w:val="en-US"/>
    </w:rPr>
  </w:style>
  <w:style w:type="paragraph" w:styleId="ListParagraph">
    <w:name w:val="List Paragraph"/>
    <w:basedOn w:val="Normal"/>
    <w:uiPriority w:val="34"/>
    <w:qFormat/>
    <w:rsid w:val="00985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ynchronised xmlns="ea319a2f-a807-4e99-ab32-3209dbba99fd">2019-01-15T21:30:52+00:00</Synchronised>
    <Category xmlns="67d28a43-e3c4-4372-8b8b-1469bd7bbb07">Current</Category>
    <HPRM_x0020_Record_x0020_Number xmlns="ea319a2f-a807-4e99-ab32-3209dbba99fd">D16/559256</HPRM_x0020_Record_x0020_Number>
    <Sub_x002d_category xmlns="67d28a43-e3c4-4372-8b8b-1469bd7bbb07">Prescribed classes</Sub_x002d_category>
    <TaxCatchAll xmlns="ea319a2f-a807-4e99-ab32-3209dbba99fd"/>
    <TaxKeywordTaxHTField xmlns="ea319a2f-a807-4e99-ab32-3209dbba99fd">
      <Terms xmlns="http://schemas.microsoft.com/office/infopath/2007/PartnerControls">
        <TermInfo xmlns="http://schemas.microsoft.com/office/infopath/2007/PartnerControls">
          <TermName xmlns="http://schemas.microsoft.com/office/infopath/2007/PartnerControls">Taxi driver</TermName>
          <TermId xmlns="http://schemas.microsoft.com/office/infopath/2007/PartnerControls">11111111-1111-1111-1111-111111111111</TermId>
        </TermInfo>
        <TermInfo xmlns="http://schemas.microsoft.com/office/infopath/2007/PartnerControls">
          <TermName xmlns="http://schemas.microsoft.com/office/infopath/2007/PartnerControls">prescribed class</TermName>
          <TermId xmlns="http://schemas.microsoft.com/office/infopath/2007/PartnerControls">11111111-1111-1111-1111-111111111111</TermId>
        </TermInfo>
        <TermInfo xmlns="http://schemas.microsoft.com/office/infopath/2007/PartnerControls">
          <TermName xmlns="http://schemas.microsoft.com/office/infopath/2007/PartnerControls">shift agreement</TermName>
          <TermId xmlns="http://schemas.microsoft.com/office/infopath/2007/PartnerControls">11111111-1111-1111-1111-111111111111</TermId>
        </TermInfo>
        <TermInfo xmlns="http://schemas.microsoft.com/office/infopath/2007/PartnerControls">
          <TermName xmlns="http://schemas.microsoft.com/office/infopath/2007/PartnerControls">share of takings</TermName>
          <TermId xmlns="http://schemas.microsoft.com/office/infopath/2007/PartnerControls">11111111-1111-1111-1111-111111111111</TermId>
        </TermInfo>
      </Terms>
    </TaxKeywordTaxHTField>
    <File_x0020_Description xmlns="ea319a2f-a807-4e99-ab32-3209dbba99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A9D783AE-600B-4483-BE15-8E94DFF73D1D}">
  <ds:schemaRefs>
    <ds:schemaRef ds:uri="http://schemas.microsoft.com/office/2006/metadata/properties"/>
    <ds:schemaRef ds:uri="http://schemas.microsoft.com/office/infopath/2007/PartnerControls"/>
    <ds:schemaRef ds:uri="ea319a2f-a807-4e99-ab32-3209dbba99fd"/>
    <ds:schemaRef ds:uri="67d28a43-e3c4-4372-8b8b-1469bd7bbb07"/>
  </ds:schemaRefs>
</ds:datastoreItem>
</file>

<file path=customXml/itemProps2.xml><?xml version="1.0" encoding="utf-8"?>
<ds:datastoreItem xmlns:ds="http://schemas.openxmlformats.org/officeDocument/2006/customXml" ds:itemID="{9F71310D-3313-4B13-91FE-E0678A19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C689E-E926-4A59-B439-9BF5A45FAAA9}">
  <ds:schemaRefs>
    <ds:schemaRef ds:uri="http://schemas.microsoft.com/sharepoint/v3/contenttype/forms"/>
  </ds:schemaRefs>
</ds:datastoreItem>
</file>

<file path=customXml/itemProps4.xml><?xml version="1.0" encoding="utf-8"?>
<ds:datastoreItem xmlns:ds="http://schemas.openxmlformats.org/officeDocument/2006/customXml" ds:itemID="{0496830D-77F5-4136-8CA7-AAF18275EAE4}">
  <ds:schemaRefs>
    <ds:schemaRef ds:uri="http://schemas.openxmlformats.org/officeDocument/2006/bibliography"/>
  </ds:schemaRefs>
</ds:datastoreItem>
</file>

<file path=customXml/itemProps5.xml><?xml version="1.0" encoding="utf-8"?>
<ds:datastoreItem xmlns:ds="http://schemas.openxmlformats.org/officeDocument/2006/customXml" ds:itemID="{E1F2AEAC-D2D8-4C4C-81BB-377E41ED913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3</TotalTime>
  <Pages>2</Pages>
  <Words>905</Words>
  <Characters>4535</Characters>
  <Application>Microsoft Office Word</Application>
  <DocSecurity>4</DocSecurity>
  <Lines>160</Lines>
  <Paragraphs>29</Paragraphs>
  <ScaleCrop>false</ScaleCrop>
  <HeadingPairs>
    <vt:vector size="2" baseType="variant">
      <vt:variant>
        <vt:lpstr>Title</vt:lpstr>
      </vt:variant>
      <vt:variant>
        <vt:i4>1</vt:i4>
      </vt:variant>
    </vt:vector>
  </HeadingPairs>
  <TitlesOfParts>
    <vt:vector size="1" baseType="lpstr">
      <vt:lpstr>Taxi drivers</vt:lpstr>
    </vt:vector>
  </TitlesOfParts>
  <Company>ReturnToWorkSA</Company>
  <LinksUpToDate>false</LinksUpToDate>
  <CharactersWithSpaces>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 drivers</dc:title>
  <dc:subject>Taxi drivers- a guide to deemed workers</dc:subject>
  <dc:creator>ReturnToWorkSA</dc:creator>
  <cp:keywords>Taxi driver, prescribed class, shift agreement, share of takings, [SEC=OFFICIAL]</cp:keywords>
  <cp:lastModifiedBy>Stewart, Danica</cp:lastModifiedBy>
  <cp:revision>2</cp:revision>
  <cp:lastPrinted>2014-12-03T02:21:00Z</cp:lastPrinted>
  <dcterms:created xsi:type="dcterms:W3CDTF">2026-06-03T04:39:00Z</dcterms:created>
  <dcterms:modified xsi:type="dcterms:W3CDTF">2026-06-03T04:39:00Z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452b68e3-7999-4bba-ba0e-89335f7fd5f3</vt:lpwstr>
  </property>
  <property fmtid="{D5CDD505-2E9C-101B-9397-08002B2CF9AE}" pid="3" name="ContentTypeId">
    <vt:lpwstr>0x01010020AA46CFF221BC49865FED8AC6CC59CD003E631A173CD44546AA94C3431CBFFCD0</vt:lpwstr>
  </property>
  <property fmtid="{D5CDD505-2E9C-101B-9397-08002B2CF9AE}" pid="4" name="PM_Namespace">
    <vt:lpwstr>2019.1.sa.gov.au</vt:lpwstr>
  </property>
  <property fmtid="{D5CDD505-2E9C-101B-9397-08002B2CF9AE}" pid="5" name="PM_Caveats_Count">
    <vt:lpwstr>0</vt:lpwstr>
  </property>
  <property fmtid="{D5CDD505-2E9C-101B-9397-08002B2CF9AE}" pid="6" name="PM_Version">
    <vt:lpwstr>2018.1</vt:lpwstr>
  </property>
  <property fmtid="{D5CDD505-2E9C-101B-9397-08002B2CF9AE}" pid="7" name="PM_Note">
    <vt:lpwstr/>
  </property>
  <property fmtid="{D5CDD505-2E9C-101B-9397-08002B2CF9AE}" pid="8" name="PMHMAC">
    <vt:lpwstr>v=2022.1;a=SHA256;h=8C4E211C477B9F3AAC96F9ACD9FA9CBBA0B786A931BDF414D60E862CFA46908F</vt:lpwstr>
  </property>
  <property fmtid="{D5CDD505-2E9C-101B-9397-08002B2CF9AE}" pid="9" name="PM_OriginationTimeStamp">
    <vt:lpwstr>2026-05-15T01:51:31Z</vt:lpwstr>
  </property>
  <property fmtid="{D5CDD505-2E9C-101B-9397-08002B2CF9AE}" pid="10" name="PM_Markers">
    <vt:lpwstr/>
  </property>
  <property fmtid="{D5CDD505-2E9C-101B-9397-08002B2CF9AE}" pid="11" name="PM_Expires">
    <vt:lpwstr/>
  </property>
  <property fmtid="{D5CDD505-2E9C-101B-9397-08002B2CF9AE}" pid="12" name="PM_DownTo">
    <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CFD65E13AAD1B4140D0211585FA208FA9437734F</vt:lpwstr>
  </property>
  <property fmtid="{D5CDD505-2E9C-101B-9397-08002B2CF9AE}" pid="19" name="PM_Originating_FileId">
    <vt:lpwstr>36F2E784EA1D4499A25B995DCB73FF11</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70D62D1D832BB942EA91D785536554A8608F55D090CBB2BBE72B4C1C4AAEDA30</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80DDD383134C03D100787FE1E866C75F</vt:lpwstr>
  </property>
  <property fmtid="{D5CDD505-2E9C-101B-9397-08002B2CF9AE}" pid="27" name="PM_Hash_Salt">
    <vt:lpwstr>13707824DBEBB9252856F817F7215D41</vt:lpwstr>
  </property>
  <property fmtid="{D5CDD505-2E9C-101B-9397-08002B2CF9AE}" pid="28" name="PM_Hash_SHA1">
    <vt:lpwstr>E843649EC981520F67943CA47BEC01FBB4DFEC30</vt:lpwstr>
  </property>
  <property fmtid="{D5CDD505-2E9C-101B-9397-08002B2CF9AE}" pid="29" name="PM_SecurityClassification_Prev">
    <vt:lpwstr>OFFICIAL</vt:lpwstr>
  </property>
  <property fmtid="{D5CDD505-2E9C-101B-9397-08002B2CF9AE}" pid="30" name="PM_Qualifier_Prev">
    <vt:lpwstr/>
  </property>
</Properties>
</file>