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F3BC7" w14:textId="77777777" w:rsidR="00F27FCE" w:rsidRDefault="00F27FCE" w:rsidP="00F27FCE">
      <w:pPr>
        <w:pStyle w:val="MainHeadingCover"/>
        <w:spacing w:line="420" w:lineRule="exact"/>
        <w:rPr>
          <w:sz w:val="44"/>
        </w:rPr>
      </w:pPr>
      <w:bookmarkStart w:id="0" w:name="_Toc416964868"/>
      <w:bookmarkStart w:id="1" w:name="_GoBack"/>
      <w:bookmarkEnd w:id="1"/>
    </w:p>
    <w:p w14:paraId="6BCED3FA" w14:textId="50384E56" w:rsidR="00F27FCE" w:rsidRDefault="003F0B00" w:rsidP="00C46210">
      <w:pPr>
        <w:pStyle w:val="SubheadingCover"/>
        <w:spacing w:line="240" w:lineRule="auto"/>
        <w:rPr>
          <w:i/>
        </w:rPr>
      </w:pPr>
      <w:r>
        <w:rPr>
          <w:rFonts w:cs="SourceSansPro-Light"/>
          <w:color w:val="A21C26"/>
          <w:sz w:val="52"/>
          <w:szCs w:val="22"/>
          <w:lang w:val="en-US"/>
        </w:rPr>
        <w:t xml:space="preserve">Miscellaneous classes </w:t>
      </w:r>
      <w:r w:rsidR="00D1171E" w:rsidRPr="00D1171E">
        <w:rPr>
          <w:rFonts w:cs="SourceSansPro-Light"/>
          <w:color w:val="A21C26"/>
          <w:sz w:val="52"/>
          <w:szCs w:val="22"/>
          <w:lang w:val="en-US"/>
        </w:rPr>
        <w:t>guide</w:t>
      </w:r>
    </w:p>
    <w:p w14:paraId="3D0F8B2C" w14:textId="1334CB44" w:rsidR="00F27FCE" w:rsidRDefault="00C46210" w:rsidP="00C46210">
      <w:pPr>
        <w:pStyle w:val="TOCHeader"/>
        <w:spacing w:line="240" w:lineRule="auto"/>
        <w:jc w:val="left"/>
        <w:rPr>
          <w:sz w:val="44"/>
        </w:rPr>
      </w:pPr>
      <w:r w:rsidRPr="001826F0">
        <w:rPr>
          <w:sz w:val="28"/>
          <w:szCs w:val="28"/>
        </w:rPr>
        <w:t xml:space="preserve">A guide to deemed </w:t>
      </w:r>
      <w:r w:rsidR="006D40AB">
        <w:rPr>
          <w:sz w:val="28"/>
          <w:szCs w:val="28"/>
        </w:rPr>
        <w:t xml:space="preserve">and excluded </w:t>
      </w:r>
      <w:r w:rsidRPr="001826F0">
        <w:rPr>
          <w:sz w:val="28"/>
          <w:szCs w:val="28"/>
        </w:rPr>
        <w:t>workers</w:t>
      </w:r>
      <w:r w:rsidRPr="00F27FCE">
        <w:rPr>
          <w:sz w:val="52"/>
        </w:rPr>
        <w:t xml:space="preserve">  </w:t>
      </w:r>
    </w:p>
    <w:p w14:paraId="2AB18B91" w14:textId="77777777" w:rsidR="00C46210" w:rsidRDefault="00C46210" w:rsidP="00F27FCE">
      <w:pPr>
        <w:pStyle w:val="Heading1"/>
        <w:rPr>
          <w:rFonts w:eastAsia="MS Mincho"/>
          <w:color w:val="000000"/>
          <w:sz w:val="22"/>
          <w:szCs w:val="20"/>
        </w:rPr>
      </w:pPr>
      <w:bookmarkStart w:id="2" w:name="_Toc416869541"/>
      <w:bookmarkStart w:id="3" w:name="_Toc416873082"/>
      <w:bookmarkStart w:id="4" w:name="_Toc416881457"/>
      <w:bookmarkStart w:id="5" w:name="_Toc416964869"/>
      <w:bookmarkStart w:id="6" w:name="_Toc417045356"/>
      <w:bookmarkStart w:id="7" w:name="_Toc417046134"/>
      <w:bookmarkStart w:id="8" w:name="_Toc417049698"/>
      <w:bookmarkStart w:id="9" w:name="_Toc417049912"/>
      <w:bookmarkStart w:id="10" w:name="_Toc417049967"/>
      <w:bookmarkEnd w:id="0"/>
    </w:p>
    <w:p w14:paraId="17256A77" w14:textId="77777777" w:rsidR="00C46210" w:rsidRDefault="00C46210" w:rsidP="00C46210">
      <w:pPr>
        <w:pStyle w:val="Heading1"/>
        <w:spacing w:line="240" w:lineRule="auto"/>
        <w:rPr>
          <w:rFonts w:eastAsia="MS Mincho"/>
          <w:color w:val="000000"/>
          <w:sz w:val="22"/>
          <w:szCs w:val="20"/>
        </w:rPr>
        <w:sectPr w:rsidR="00C46210" w:rsidSect="00F27FCE">
          <w:footerReference w:type="default" r:id="rId13"/>
          <w:headerReference w:type="first" r:id="rId14"/>
          <w:footerReference w:type="first" r:id="rId15"/>
          <w:type w:val="continuous"/>
          <w:pgSz w:w="11900" w:h="16840" w:code="9"/>
          <w:pgMar w:top="794" w:right="794" w:bottom="737" w:left="794" w:header="794" w:footer="737" w:gutter="0"/>
          <w:cols w:space="674"/>
          <w:titlePg/>
          <w:docGrid w:linePitch="360"/>
        </w:sectPr>
      </w:pPr>
    </w:p>
    <w:p w14:paraId="09ADE031" w14:textId="2D93B8CD" w:rsidR="00F27FCE" w:rsidRPr="005B3110" w:rsidRDefault="00F27FCE" w:rsidP="00C46210">
      <w:pPr>
        <w:pStyle w:val="Heading1"/>
        <w:spacing w:line="240" w:lineRule="auto"/>
        <w:rPr>
          <w:rFonts w:eastAsia="MS Mincho"/>
          <w:bCs/>
          <w:color w:val="000000"/>
          <w:sz w:val="21"/>
          <w:szCs w:val="21"/>
        </w:rPr>
      </w:pPr>
      <w:r w:rsidRPr="005B3110">
        <w:rPr>
          <w:rFonts w:eastAsia="MS Mincho"/>
          <w:color w:val="000000"/>
          <w:sz w:val="21"/>
          <w:szCs w:val="21"/>
        </w:rPr>
        <w:t xml:space="preserve">This guide has been produced to help employers and/or workers who may be uncertain about coverage under the </w:t>
      </w:r>
      <w:r w:rsidRPr="005B3110">
        <w:rPr>
          <w:rFonts w:eastAsia="MS Mincho"/>
          <w:i/>
          <w:color w:val="000000"/>
          <w:sz w:val="21"/>
          <w:szCs w:val="21"/>
        </w:rPr>
        <w:t>Return to Work Act 2014</w:t>
      </w:r>
      <w:r w:rsidRPr="005B3110">
        <w:rPr>
          <w:rFonts w:eastAsia="MS Mincho"/>
          <w:color w:val="000000"/>
          <w:sz w:val="21"/>
          <w:szCs w:val="21"/>
        </w:rPr>
        <w:t xml:space="preserve"> (the Act). For further information please call ReturnToWorkSA (RTWSA) on 13 18 55.</w:t>
      </w:r>
      <w:bookmarkEnd w:id="2"/>
      <w:bookmarkEnd w:id="3"/>
      <w:bookmarkEnd w:id="4"/>
      <w:bookmarkEnd w:id="5"/>
      <w:bookmarkEnd w:id="6"/>
      <w:bookmarkEnd w:id="7"/>
      <w:bookmarkEnd w:id="8"/>
      <w:bookmarkEnd w:id="9"/>
      <w:bookmarkEnd w:id="10"/>
    </w:p>
    <w:p w14:paraId="02005ED1" w14:textId="771E036C" w:rsidR="00F27FCE" w:rsidRPr="005B3110" w:rsidRDefault="00F27FCE" w:rsidP="00C46210">
      <w:pPr>
        <w:widowControl/>
        <w:suppressAutoHyphens w:val="0"/>
        <w:autoSpaceDE/>
        <w:autoSpaceDN/>
        <w:adjustRightInd/>
        <w:spacing w:line="240" w:lineRule="auto"/>
        <w:jc w:val="left"/>
        <w:textAlignment w:val="auto"/>
        <w:rPr>
          <w:color w:val="A21C26"/>
          <w:sz w:val="21"/>
          <w:szCs w:val="21"/>
        </w:rPr>
      </w:pPr>
      <w:bookmarkStart w:id="11" w:name="_Toc416964870"/>
    </w:p>
    <w:p w14:paraId="63421B5D" w14:textId="77777777" w:rsidR="00F27FCE" w:rsidRPr="005B3110" w:rsidRDefault="00F27FCE" w:rsidP="00C46210">
      <w:pPr>
        <w:pStyle w:val="Heading1"/>
        <w:spacing w:line="240" w:lineRule="auto"/>
        <w:rPr>
          <w:sz w:val="21"/>
          <w:szCs w:val="21"/>
        </w:rPr>
      </w:pPr>
      <w:bookmarkStart w:id="12" w:name="_Toc417049968"/>
      <w:r w:rsidRPr="005B3110">
        <w:rPr>
          <w:sz w:val="21"/>
          <w:szCs w:val="21"/>
        </w:rPr>
        <w:t>Who is a worker?</w:t>
      </w:r>
      <w:bookmarkEnd w:id="11"/>
      <w:bookmarkEnd w:id="12"/>
    </w:p>
    <w:p w14:paraId="7A20BBC4" w14:textId="57B6A667" w:rsidR="00F27FCE" w:rsidRPr="005B3110" w:rsidRDefault="00F27FCE" w:rsidP="00C46210">
      <w:pPr>
        <w:spacing w:line="240" w:lineRule="auto"/>
        <w:jc w:val="left"/>
        <w:rPr>
          <w:sz w:val="21"/>
          <w:szCs w:val="21"/>
        </w:rPr>
      </w:pPr>
      <w:r w:rsidRPr="005B3110">
        <w:rPr>
          <w:sz w:val="21"/>
          <w:szCs w:val="21"/>
        </w:rP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040529" w:rsidRPr="005B3110">
        <w:rPr>
          <w:sz w:val="21"/>
          <w:szCs w:val="21"/>
        </w:rPr>
        <w:t>ha</w:t>
      </w:r>
      <w:r w:rsidRPr="005B3110">
        <w:rPr>
          <w:sz w:val="21"/>
          <w:szCs w:val="21"/>
        </w:rPr>
        <w:t>s a broader definition than ‘employee’.</w:t>
      </w:r>
    </w:p>
    <w:p w14:paraId="54D03E25" w14:textId="77777777" w:rsidR="00F27FCE" w:rsidRPr="005B3110" w:rsidRDefault="00F27FCE" w:rsidP="00C46210">
      <w:pPr>
        <w:spacing w:line="240" w:lineRule="auto"/>
        <w:jc w:val="left"/>
        <w:rPr>
          <w:sz w:val="21"/>
          <w:szCs w:val="21"/>
        </w:rPr>
      </w:pPr>
    </w:p>
    <w:p w14:paraId="452D2242" w14:textId="151AAA11" w:rsidR="00F27FCE" w:rsidRPr="005B3110" w:rsidRDefault="00F27FCE" w:rsidP="00C46210">
      <w:pPr>
        <w:spacing w:line="240" w:lineRule="auto"/>
        <w:jc w:val="left"/>
        <w:rPr>
          <w:sz w:val="21"/>
          <w:szCs w:val="21"/>
        </w:rPr>
      </w:pPr>
      <w:r w:rsidRPr="005B3110">
        <w:rPr>
          <w:sz w:val="21"/>
          <w:szCs w:val="21"/>
        </w:rPr>
        <w:t xml:space="preserve">Whether someone is determined to be a worker under the Act needs to be considered on a case-by-case basis, from the viewpoint of the </w:t>
      </w:r>
      <w:r w:rsidR="00040529" w:rsidRPr="005B3110">
        <w:rPr>
          <w:sz w:val="21"/>
          <w:szCs w:val="21"/>
        </w:rPr>
        <w:t>‘</w:t>
      </w:r>
      <w:r w:rsidRPr="005B3110">
        <w:rPr>
          <w:sz w:val="21"/>
          <w:szCs w:val="21"/>
        </w:rPr>
        <w:t>worker</w:t>
      </w:r>
      <w:r w:rsidR="00040529" w:rsidRPr="005B3110">
        <w:rPr>
          <w:sz w:val="21"/>
          <w:szCs w:val="21"/>
        </w:rPr>
        <w:t>’</w:t>
      </w:r>
      <w:r w:rsidRPr="005B3110">
        <w:rPr>
          <w:sz w:val="21"/>
          <w:szCs w:val="21"/>
        </w:rPr>
        <w:t>-</w:t>
      </w:r>
      <w:r w:rsidR="00040529" w:rsidRPr="005B3110">
        <w:rPr>
          <w:sz w:val="21"/>
          <w:szCs w:val="21"/>
        </w:rPr>
        <w:t>‘</w:t>
      </w:r>
      <w:r w:rsidRPr="005B3110">
        <w:rPr>
          <w:sz w:val="21"/>
          <w:szCs w:val="21"/>
        </w:rPr>
        <w:t>employer</w:t>
      </w:r>
      <w:r w:rsidR="00040529" w:rsidRPr="005B3110">
        <w:rPr>
          <w:sz w:val="21"/>
          <w:szCs w:val="21"/>
        </w:rPr>
        <w:t>’</w:t>
      </w:r>
      <w:r w:rsidRPr="005B3110">
        <w:rPr>
          <w:sz w:val="21"/>
          <w:szCs w:val="21"/>
        </w:rPr>
        <w:t xml:space="preserve"> relationship, against </w:t>
      </w:r>
      <w:r w:rsidR="00040529" w:rsidRPr="005B3110">
        <w:rPr>
          <w:sz w:val="21"/>
          <w:szCs w:val="21"/>
        </w:rPr>
        <w:t xml:space="preserve">the provisions of the Act and </w:t>
      </w:r>
      <w:r w:rsidRPr="005B3110">
        <w:rPr>
          <w:sz w:val="21"/>
          <w:szCs w:val="21"/>
        </w:rPr>
        <w:t>well-tested common law principles.</w:t>
      </w:r>
    </w:p>
    <w:p w14:paraId="7B504EE2" w14:textId="77777777" w:rsidR="00F27FCE" w:rsidRPr="005B3110" w:rsidRDefault="00F27FCE" w:rsidP="00C46210">
      <w:pPr>
        <w:spacing w:line="240" w:lineRule="auto"/>
        <w:jc w:val="left"/>
        <w:rPr>
          <w:sz w:val="21"/>
          <w:szCs w:val="21"/>
        </w:rPr>
      </w:pPr>
    </w:p>
    <w:p w14:paraId="52EF1F9F" w14:textId="77777777" w:rsidR="00F27FCE" w:rsidRPr="005B3110" w:rsidRDefault="00F27FCE" w:rsidP="00C46210">
      <w:pPr>
        <w:pStyle w:val="Heading1"/>
        <w:spacing w:line="240" w:lineRule="auto"/>
        <w:rPr>
          <w:sz w:val="21"/>
          <w:szCs w:val="21"/>
        </w:rPr>
      </w:pPr>
      <w:bookmarkStart w:id="13" w:name="_Toc416964871"/>
      <w:bookmarkStart w:id="14" w:name="_Toc417049969"/>
      <w:r w:rsidRPr="005B3110">
        <w:rPr>
          <w:sz w:val="21"/>
          <w:szCs w:val="21"/>
        </w:rPr>
        <w:t>Important notes</w:t>
      </w:r>
      <w:bookmarkEnd w:id="13"/>
      <w:bookmarkEnd w:id="14"/>
    </w:p>
    <w:p w14:paraId="3A9D09C7" w14:textId="558DB925" w:rsidR="00F27FCE" w:rsidRPr="005B3110" w:rsidRDefault="00F27FCE" w:rsidP="00C46210">
      <w:pPr>
        <w:spacing w:line="240" w:lineRule="auto"/>
        <w:jc w:val="left"/>
        <w:rPr>
          <w:sz w:val="21"/>
          <w:szCs w:val="21"/>
        </w:rPr>
      </w:pPr>
      <w:r w:rsidRPr="005B3110">
        <w:rPr>
          <w:sz w:val="21"/>
          <w:szCs w:val="21"/>
        </w:rPr>
        <w:t xml:space="preserve">Whether a worker is engaged to perform work on an ongoing basis or for a short period </w:t>
      </w:r>
      <w:r w:rsidR="00FC5D25" w:rsidRPr="005B3110">
        <w:rPr>
          <w:sz w:val="21"/>
          <w:szCs w:val="21"/>
        </w:rPr>
        <w:t>e.g.</w:t>
      </w:r>
      <w:r w:rsidRPr="005B3110">
        <w:rPr>
          <w:sz w:val="21"/>
          <w:szCs w:val="21"/>
        </w:rPr>
        <w:t xml:space="preserve"> for as little as one hour on a given day, or on a casual basis, an obligation exists on the employer to include remuneration paid to any such worker(s) in the calculation of premium payable.</w:t>
      </w:r>
    </w:p>
    <w:p w14:paraId="358CEA2A" w14:textId="77777777" w:rsidR="00F27FCE" w:rsidRPr="005B3110" w:rsidRDefault="00F27FCE" w:rsidP="00C46210">
      <w:pPr>
        <w:spacing w:line="240" w:lineRule="auto"/>
        <w:jc w:val="left"/>
        <w:rPr>
          <w:sz w:val="21"/>
          <w:szCs w:val="21"/>
        </w:rPr>
      </w:pPr>
    </w:p>
    <w:p w14:paraId="7A00230C" w14:textId="2A154F3F" w:rsidR="00F27FCE" w:rsidRPr="005B3110" w:rsidRDefault="00F27FCE" w:rsidP="00C46210">
      <w:pPr>
        <w:spacing w:line="240" w:lineRule="auto"/>
        <w:jc w:val="left"/>
        <w:rPr>
          <w:sz w:val="21"/>
          <w:szCs w:val="21"/>
        </w:rPr>
      </w:pPr>
      <w:r w:rsidRPr="005B3110">
        <w:rPr>
          <w:sz w:val="21"/>
          <w:szCs w:val="21"/>
        </w:rPr>
        <w:t>A principal should ensure that an otherwise independent contractor who employs a worker(s) is, at all times when performing work for the principal, registered as an employer with RTWSA. If a contractor (who employs</w:t>
      </w:r>
      <w:r w:rsidR="00B30424" w:rsidRPr="005B3110">
        <w:rPr>
          <w:sz w:val="21"/>
          <w:szCs w:val="21"/>
        </w:rPr>
        <w:t xml:space="preserve"> a worker(s)</w:t>
      </w:r>
      <w:r w:rsidRPr="005B3110">
        <w:rPr>
          <w:sz w:val="21"/>
          <w:szCs w:val="21"/>
        </w:rPr>
        <w:t>) is not registered, then under section 4(4) of the Act the principal is taken to be the employer</w:t>
      </w:r>
      <w:r w:rsidR="00B30424" w:rsidRPr="005B3110">
        <w:rPr>
          <w:sz w:val="21"/>
          <w:szCs w:val="21"/>
        </w:rPr>
        <w:t xml:space="preserve"> of workers employed by the contractor</w:t>
      </w:r>
      <w:r w:rsidRPr="005B3110">
        <w:rPr>
          <w:sz w:val="21"/>
          <w:szCs w:val="21"/>
        </w:rPr>
        <w:t>. It is therefore in the principal’s best interests to ensure that any contractors who also employ workers are registered with RTWSA</w:t>
      </w:r>
      <w:r w:rsidR="00B30424" w:rsidRPr="005B3110">
        <w:rPr>
          <w:sz w:val="21"/>
          <w:szCs w:val="21"/>
        </w:rPr>
        <w:t xml:space="preserve"> by requesting them to provide a copy of a certificate of registration</w:t>
      </w:r>
      <w:r w:rsidRPr="005B3110">
        <w:rPr>
          <w:sz w:val="21"/>
          <w:szCs w:val="21"/>
        </w:rPr>
        <w:t>.</w:t>
      </w:r>
    </w:p>
    <w:p w14:paraId="229D5E69" w14:textId="77777777" w:rsidR="00F27FCE" w:rsidRPr="005B3110" w:rsidRDefault="00F27FCE" w:rsidP="00C46210">
      <w:pPr>
        <w:pStyle w:val="Bodycopy"/>
        <w:spacing w:line="240" w:lineRule="auto"/>
        <w:rPr>
          <w:sz w:val="21"/>
          <w:szCs w:val="21"/>
        </w:rPr>
      </w:pPr>
      <w:r w:rsidRPr="005B3110">
        <w:rPr>
          <w:sz w:val="21"/>
          <w:szCs w:val="21"/>
        </w:rPr>
        <w:t>Section 4(4) of the Act – states:</w:t>
      </w:r>
    </w:p>
    <w:p w14:paraId="0A3B9C38" w14:textId="77777777" w:rsidR="00F27FCE" w:rsidRPr="005B3110" w:rsidRDefault="00F27FCE" w:rsidP="00C46210">
      <w:pPr>
        <w:pStyle w:val="Bodycopy"/>
        <w:spacing w:line="240" w:lineRule="auto"/>
        <w:ind w:left="142" w:right="141"/>
        <w:rPr>
          <w:i/>
          <w:sz w:val="21"/>
          <w:szCs w:val="21"/>
        </w:rPr>
      </w:pPr>
      <w:r w:rsidRPr="005B3110">
        <w:rPr>
          <w:i/>
          <w:sz w:val="21"/>
          <w:szCs w:val="21"/>
        </w:rPr>
        <w:t>Where in a prescribed industry or in prescribed circumstances a person (the principal) contracts with another person (the contractor) for the performance by the contractor of work undertaken by the principal, the principal will, for the purposes of this Act, be taken to be the employer of workers employed by the contractor.</w:t>
      </w:r>
    </w:p>
    <w:p w14:paraId="2BE4BB0E" w14:textId="77777777" w:rsidR="00F27FCE" w:rsidRPr="005B3110" w:rsidRDefault="00F27FCE" w:rsidP="00C46210">
      <w:pPr>
        <w:pStyle w:val="Bodycopy"/>
        <w:spacing w:line="240" w:lineRule="auto"/>
        <w:rPr>
          <w:sz w:val="21"/>
          <w:szCs w:val="21"/>
        </w:rPr>
      </w:pPr>
    </w:p>
    <w:p w14:paraId="00E8D019" w14:textId="30F3D476" w:rsidR="00F27FCE" w:rsidRPr="005B3110" w:rsidRDefault="00F27FCE" w:rsidP="00C46210">
      <w:pPr>
        <w:pStyle w:val="Bodycopy"/>
        <w:spacing w:line="240" w:lineRule="auto"/>
        <w:rPr>
          <w:sz w:val="21"/>
          <w:szCs w:val="21"/>
        </w:rPr>
      </w:pPr>
      <w:r w:rsidRPr="005B3110">
        <w:rPr>
          <w:sz w:val="21"/>
          <w:szCs w:val="21"/>
        </w:rPr>
        <w:t>Regulation 5</w:t>
      </w:r>
      <w:r w:rsidR="0085638D" w:rsidRPr="005B3110">
        <w:rPr>
          <w:sz w:val="21"/>
          <w:szCs w:val="21"/>
        </w:rPr>
        <w:t>(</w:t>
      </w:r>
      <w:r w:rsidRPr="005B3110">
        <w:rPr>
          <w:sz w:val="21"/>
          <w:szCs w:val="21"/>
        </w:rPr>
        <w:t>8</w:t>
      </w:r>
      <w:r w:rsidR="0085638D" w:rsidRPr="005B3110">
        <w:rPr>
          <w:sz w:val="21"/>
          <w:szCs w:val="21"/>
        </w:rPr>
        <w:t>)</w:t>
      </w:r>
      <w:r w:rsidRPr="005B3110">
        <w:rPr>
          <w:sz w:val="21"/>
          <w:szCs w:val="21"/>
        </w:rPr>
        <w:t xml:space="preserve"> of the </w:t>
      </w:r>
      <w:r w:rsidRPr="005B3110">
        <w:rPr>
          <w:i/>
          <w:sz w:val="21"/>
          <w:szCs w:val="21"/>
        </w:rPr>
        <w:t xml:space="preserve">Return to Work Regulations 2015 </w:t>
      </w:r>
      <w:r w:rsidR="001C6E4A" w:rsidRPr="005B3110">
        <w:rPr>
          <w:sz w:val="21"/>
          <w:szCs w:val="21"/>
        </w:rPr>
        <w:t xml:space="preserve">(the Regulations) </w:t>
      </w:r>
      <w:r w:rsidRPr="005B3110">
        <w:rPr>
          <w:sz w:val="21"/>
          <w:szCs w:val="21"/>
        </w:rPr>
        <w:t>states:</w:t>
      </w:r>
    </w:p>
    <w:p w14:paraId="7E83F18C" w14:textId="77777777" w:rsidR="00F27FCE" w:rsidRPr="005B3110" w:rsidRDefault="00F27FCE" w:rsidP="00C46210">
      <w:pPr>
        <w:pStyle w:val="Bodycopy"/>
        <w:spacing w:line="240" w:lineRule="auto"/>
        <w:ind w:left="142" w:right="141"/>
        <w:rPr>
          <w:sz w:val="21"/>
          <w:szCs w:val="21"/>
        </w:rPr>
      </w:pPr>
      <w:r w:rsidRPr="005B3110">
        <w:rPr>
          <w:i/>
          <w:sz w:val="21"/>
          <w:szCs w:val="21"/>
        </w:rPr>
        <w:t>For the purposes of section 4(4) of the Act, a prescribed circumstance is where a person (the principal) contracts with another person (the contractor) who is not registered as an employer under the Act</w:t>
      </w:r>
      <w:r w:rsidRPr="005B3110">
        <w:rPr>
          <w:sz w:val="21"/>
          <w:szCs w:val="21"/>
        </w:rPr>
        <w:t>.</w:t>
      </w:r>
    </w:p>
    <w:p w14:paraId="0C9F4870" w14:textId="36002248" w:rsidR="00F27FCE" w:rsidRPr="005B3110" w:rsidRDefault="00F27FCE" w:rsidP="00C46210">
      <w:pPr>
        <w:widowControl/>
        <w:suppressAutoHyphens w:val="0"/>
        <w:autoSpaceDE/>
        <w:autoSpaceDN/>
        <w:adjustRightInd/>
        <w:spacing w:line="240" w:lineRule="auto"/>
        <w:jc w:val="left"/>
        <w:textAlignment w:val="auto"/>
        <w:rPr>
          <w:color w:val="A21C26"/>
          <w:sz w:val="21"/>
          <w:szCs w:val="21"/>
        </w:rPr>
      </w:pPr>
      <w:bookmarkStart w:id="15" w:name="_Toc416964872"/>
    </w:p>
    <w:p w14:paraId="3CF0C65D" w14:textId="77777777" w:rsidR="003F0B00" w:rsidRPr="005B3110" w:rsidRDefault="003F0B00" w:rsidP="00C46210">
      <w:pPr>
        <w:pStyle w:val="Heading1"/>
        <w:spacing w:line="240" w:lineRule="auto"/>
        <w:rPr>
          <w:sz w:val="21"/>
          <w:szCs w:val="21"/>
        </w:rPr>
      </w:pPr>
      <w:bookmarkStart w:id="16" w:name="_Toc416870469"/>
      <w:bookmarkStart w:id="17" w:name="_Toc417049970"/>
      <w:bookmarkEnd w:id="15"/>
      <w:r w:rsidRPr="005B3110">
        <w:rPr>
          <w:sz w:val="21"/>
          <w:szCs w:val="21"/>
        </w:rPr>
        <w:t>Ministers of religion</w:t>
      </w:r>
      <w:bookmarkEnd w:id="16"/>
      <w:bookmarkEnd w:id="17"/>
      <w:r w:rsidRPr="005B3110">
        <w:rPr>
          <w:sz w:val="21"/>
          <w:szCs w:val="21"/>
        </w:rPr>
        <w:t xml:space="preserve"> </w:t>
      </w:r>
    </w:p>
    <w:p w14:paraId="7BF6AB08" w14:textId="4381B1F4" w:rsidR="003F0B00" w:rsidRPr="005B3110" w:rsidRDefault="003F0B00" w:rsidP="00C46210">
      <w:pPr>
        <w:spacing w:line="240" w:lineRule="auto"/>
        <w:rPr>
          <w:b/>
          <w:bCs/>
          <w:sz w:val="21"/>
          <w:szCs w:val="21"/>
        </w:rPr>
      </w:pPr>
      <w:r w:rsidRPr="005B3110">
        <w:rPr>
          <w:sz w:val="21"/>
          <w:szCs w:val="21"/>
        </w:rPr>
        <w:t xml:space="preserve">Specific ministers of religion are </w:t>
      </w:r>
      <w:r w:rsidRPr="005B3110">
        <w:rPr>
          <w:b/>
          <w:bCs/>
          <w:sz w:val="21"/>
          <w:szCs w:val="21"/>
        </w:rPr>
        <w:t xml:space="preserve">excluded from coverage </w:t>
      </w:r>
      <w:r w:rsidRPr="005B3110">
        <w:rPr>
          <w:sz w:val="21"/>
          <w:szCs w:val="21"/>
        </w:rPr>
        <w:t xml:space="preserve">under the Act </w:t>
      </w:r>
      <w:r w:rsidR="001C6E4A" w:rsidRPr="005B3110">
        <w:rPr>
          <w:sz w:val="21"/>
          <w:szCs w:val="21"/>
        </w:rPr>
        <w:t xml:space="preserve">by regulation 6(1) of the Regulations </w:t>
      </w:r>
      <w:r w:rsidRPr="005B3110">
        <w:rPr>
          <w:sz w:val="21"/>
          <w:szCs w:val="21"/>
        </w:rPr>
        <w:t>(this applies irrespective of</w:t>
      </w:r>
      <w:r w:rsidRPr="005B3110">
        <w:rPr>
          <w:b/>
          <w:bCs/>
          <w:sz w:val="21"/>
          <w:szCs w:val="21"/>
        </w:rPr>
        <w:t xml:space="preserve"> </w:t>
      </w:r>
      <w:r w:rsidRPr="005B3110">
        <w:rPr>
          <w:sz w:val="21"/>
          <w:szCs w:val="21"/>
        </w:rPr>
        <w:t>whether the minister is working under a contract of service). They are:</w:t>
      </w:r>
    </w:p>
    <w:p w14:paraId="410C5C86" w14:textId="6194C87D" w:rsidR="003F0B00" w:rsidRPr="005B3110" w:rsidRDefault="003F0B00" w:rsidP="00C46210">
      <w:pPr>
        <w:pStyle w:val="Bullets"/>
        <w:tabs>
          <w:tab w:val="left" w:pos="851"/>
        </w:tabs>
        <w:spacing w:line="240" w:lineRule="auto"/>
        <w:ind w:left="426" w:hanging="283"/>
        <w:jc w:val="left"/>
        <w:rPr>
          <w:sz w:val="21"/>
          <w:szCs w:val="21"/>
        </w:rPr>
      </w:pPr>
      <w:r w:rsidRPr="005B3110">
        <w:rPr>
          <w:sz w:val="21"/>
          <w:szCs w:val="21"/>
        </w:rPr>
        <w:t>a minister ministering within The Anglican Church of Australia</w:t>
      </w:r>
      <w:r w:rsidR="001C6E4A" w:rsidRPr="005B3110">
        <w:rPr>
          <w:sz w:val="21"/>
          <w:szCs w:val="21"/>
        </w:rPr>
        <w:t xml:space="preserve"> in South Australia</w:t>
      </w:r>
    </w:p>
    <w:p w14:paraId="12465BDF" w14:textId="534350A1" w:rsidR="003F0B00" w:rsidRPr="005B3110" w:rsidRDefault="003F0B00" w:rsidP="00C46210">
      <w:pPr>
        <w:pStyle w:val="Bullets"/>
        <w:tabs>
          <w:tab w:val="left" w:pos="851"/>
        </w:tabs>
        <w:spacing w:line="240" w:lineRule="auto"/>
        <w:ind w:left="426" w:hanging="283"/>
        <w:jc w:val="left"/>
        <w:rPr>
          <w:sz w:val="21"/>
          <w:szCs w:val="21"/>
        </w:rPr>
      </w:pPr>
      <w:r w:rsidRPr="005B3110">
        <w:rPr>
          <w:sz w:val="21"/>
          <w:szCs w:val="21"/>
        </w:rPr>
        <w:t>a priest or other member of a religious order ministering within the Catholic Church</w:t>
      </w:r>
      <w:r w:rsidR="001C6E4A" w:rsidRPr="005B3110">
        <w:rPr>
          <w:sz w:val="21"/>
          <w:szCs w:val="21"/>
        </w:rPr>
        <w:t xml:space="preserve"> of South Australia</w:t>
      </w:r>
    </w:p>
    <w:p w14:paraId="303F2FA9" w14:textId="58790707" w:rsidR="003F0B00" w:rsidRPr="005B3110" w:rsidRDefault="003F0B00" w:rsidP="00C46210">
      <w:pPr>
        <w:pStyle w:val="Bullets"/>
        <w:tabs>
          <w:tab w:val="left" w:pos="851"/>
        </w:tabs>
        <w:spacing w:line="240" w:lineRule="auto"/>
        <w:ind w:left="426" w:hanging="283"/>
        <w:jc w:val="left"/>
        <w:rPr>
          <w:sz w:val="21"/>
          <w:szCs w:val="21"/>
        </w:rPr>
      </w:pPr>
      <w:r w:rsidRPr="005B3110">
        <w:rPr>
          <w:sz w:val="21"/>
          <w:szCs w:val="21"/>
        </w:rPr>
        <w:t xml:space="preserve">a pastor ministering within the Lutheran Church of </w:t>
      </w:r>
      <w:r w:rsidR="001C6E4A" w:rsidRPr="005B3110">
        <w:rPr>
          <w:sz w:val="21"/>
          <w:szCs w:val="21"/>
        </w:rPr>
        <w:t xml:space="preserve">Australia </w:t>
      </w:r>
      <w:r w:rsidRPr="005B3110">
        <w:rPr>
          <w:sz w:val="21"/>
          <w:szCs w:val="21"/>
        </w:rPr>
        <w:t>South Australia District Inc</w:t>
      </w:r>
    </w:p>
    <w:p w14:paraId="03144256" w14:textId="77777777" w:rsidR="003F0B00" w:rsidRPr="005B3110" w:rsidRDefault="003F0B00" w:rsidP="00C46210">
      <w:pPr>
        <w:pStyle w:val="Bullets"/>
        <w:tabs>
          <w:tab w:val="left" w:pos="709"/>
        </w:tabs>
        <w:spacing w:line="240" w:lineRule="auto"/>
        <w:ind w:left="426" w:hanging="283"/>
        <w:jc w:val="left"/>
        <w:rPr>
          <w:sz w:val="21"/>
          <w:szCs w:val="21"/>
        </w:rPr>
      </w:pPr>
      <w:r w:rsidRPr="005B3110">
        <w:rPr>
          <w:sz w:val="21"/>
          <w:szCs w:val="21"/>
        </w:rPr>
        <w:t>an ordained minister, deaconess or lay pastor of The Uniting Church in Australia ministering in an approved placement under the “Classification of Ministers” of that Church</w:t>
      </w:r>
    </w:p>
    <w:p w14:paraId="5C9EDCEC" w14:textId="77777777" w:rsidR="003F0B00" w:rsidRPr="005B3110" w:rsidRDefault="003F0B00" w:rsidP="00C46210">
      <w:pPr>
        <w:pStyle w:val="Bullets"/>
        <w:numPr>
          <w:ilvl w:val="0"/>
          <w:numId w:val="0"/>
        </w:numPr>
        <w:tabs>
          <w:tab w:val="left" w:pos="851"/>
        </w:tabs>
        <w:spacing w:line="240" w:lineRule="auto"/>
        <w:ind w:left="851"/>
        <w:rPr>
          <w:sz w:val="21"/>
          <w:szCs w:val="21"/>
        </w:rPr>
      </w:pPr>
    </w:p>
    <w:p w14:paraId="2328D11A" w14:textId="77777777" w:rsidR="000B0D05" w:rsidRDefault="003F0B00" w:rsidP="00316FB9">
      <w:pPr>
        <w:pStyle w:val="Bodycopy"/>
        <w:spacing w:line="240" w:lineRule="auto"/>
        <w:ind w:left="5"/>
        <w:jc w:val="left"/>
        <w:rPr>
          <w:sz w:val="21"/>
          <w:szCs w:val="21"/>
        </w:rPr>
      </w:pPr>
      <w:r w:rsidRPr="005B3110">
        <w:rPr>
          <w:sz w:val="21"/>
          <w:szCs w:val="21"/>
        </w:rPr>
        <w:t xml:space="preserve">All other ministers of religion, priests or </w:t>
      </w:r>
      <w:r w:rsidR="000B0D05" w:rsidRPr="005B3110">
        <w:rPr>
          <w:sz w:val="21"/>
          <w:szCs w:val="21"/>
        </w:rPr>
        <w:t xml:space="preserve">other </w:t>
      </w:r>
      <w:r w:rsidRPr="005B3110">
        <w:rPr>
          <w:sz w:val="21"/>
          <w:szCs w:val="21"/>
        </w:rPr>
        <w:t>members of a religious order are taken to be workers</w:t>
      </w:r>
      <w:r w:rsidR="000B0D05" w:rsidRPr="005B3110">
        <w:rPr>
          <w:sz w:val="21"/>
          <w:szCs w:val="21"/>
        </w:rPr>
        <w:t>:</w:t>
      </w:r>
    </w:p>
    <w:p w14:paraId="6226C8E2" w14:textId="77777777" w:rsidR="005B3110" w:rsidRPr="005B3110" w:rsidRDefault="005B3110" w:rsidP="00316FB9">
      <w:pPr>
        <w:pStyle w:val="Bodycopy"/>
        <w:spacing w:line="240" w:lineRule="auto"/>
        <w:ind w:left="5"/>
        <w:jc w:val="left"/>
        <w:rPr>
          <w:sz w:val="21"/>
          <w:szCs w:val="21"/>
        </w:rPr>
      </w:pPr>
    </w:p>
    <w:p w14:paraId="21826E04" w14:textId="17301C03" w:rsidR="000B0D05" w:rsidRPr="005B3110" w:rsidRDefault="000B0D05" w:rsidP="005B3110">
      <w:pPr>
        <w:pStyle w:val="Bodycopy"/>
        <w:numPr>
          <w:ilvl w:val="0"/>
          <w:numId w:val="6"/>
        </w:numPr>
        <w:spacing w:line="240" w:lineRule="auto"/>
        <w:jc w:val="left"/>
        <w:rPr>
          <w:sz w:val="21"/>
          <w:szCs w:val="21"/>
        </w:rPr>
      </w:pPr>
      <w:r w:rsidRPr="005B3110">
        <w:rPr>
          <w:sz w:val="21"/>
          <w:szCs w:val="21"/>
        </w:rPr>
        <w:t>as their work is a prescribed class of work for the purpose of the Act – refer to regulation 5(5) of the Regulations, or</w:t>
      </w:r>
    </w:p>
    <w:p w14:paraId="558E3974" w14:textId="152A7F86" w:rsidR="003F0B00" w:rsidRPr="005B3110" w:rsidRDefault="003F0B00" w:rsidP="005B3110">
      <w:pPr>
        <w:pStyle w:val="Bodycopy"/>
        <w:numPr>
          <w:ilvl w:val="0"/>
          <w:numId w:val="6"/>
        </w:numPr>
        <w:spacing w:line="240" w:lineRule="auto"/>
        <w:jc w:val="left"/>
        <w:rPr>
          <w:sz w:val="21"/>
          <w:szCs w:val="21"/>
        </w:rPr>
      </w:pPr>
      <w:r w:rsidRPr="005B3110">
        <w:rPr>
          <w:sz w:val="21"/>
          <w:szCs w:val="21"/>
        </w:rPr>
        <w:t xml:space="preserve"> </w:t>
      </w:r>
      <w:proofErr w:type="gramStart"/>
      <w:r w:rsidRPr="005B3110">
        <w:rPr>
          <w:sz w:val="21"/>
          <w:szCs w:val="21"/>
        </w:rPr>
        <w:t>if</w:t>
      </w:r>
      <w:proofErr w:type="gramEnd"/>
      <w:r w:rsidRPr="005B3110">
        <w:rPr>
          <w:sz w:val="21"/>
          <w:szCs w:val="21"/>
        </w:rPr>
        <w:t xml:space="preserve"> they are working under a contract of service. </w:t>
      </w:r>
    </w:p>
    <w:p w14:paraId="4C3EEA50" w14:textId="77777777" w:rsidR="003F0B00" w:rsidRPr="005B3110" w:rsidRDefault="003F0B00" w:rsidP="00316FB9">
      <w:pPr>
        <w:spacing w:line="240" w:lineRule="auto"/>
        <w:jc w:val="left"/>
        <w:rPr>
          <w:sz w:val="21"/>
          <w:szCs w:val="21"/>
        </w:rPr>
      </w:pPr>
    </w:p>
    <w:p w14:paraId="24AFCA5E" w14:textId="77777777" w:rsidR="003F0B00" w:rsidRPr="005B3110" w:rsidRDefault="003F0B00" w:rsidP="00316FB9">
      <w:pPr>
        <w:pStyle w:val="Heading1"/>
        <w:spacing w:line="240" w:lineRule="auto"/>
        <w:rPr>
          <w:sz w:val="21"/>
          <w:szCs w:val="21"/>
        </w:rPr>
      </w:pPr>
      <w:bookmarkStart w:id="18" w:name="_Toc275157998"/>
      <w:bookmarkStart w:id="19" w:name="_Toc416870470"/>
      <w:bookmarkStart w:id="20" w:name="_Toc417049971"/>
      <w:r w:rsidRPr="005B3110">
        <w:rPr>
          <w:sz w:val="21"/>
          <w:szCs w:val="21"/>
        </w:rPr>
        <w:lastRenderedPageBreak/>
        <w:t xml:space="preserve">Sporting </w:t>
      </w:r>
      <w:bookmarkEnd w:id="18"/>
      <w:r w:rsidRPr="005B3110">
        <w:rPr>
          <w:sz w:val="21"/>
          <w:szCs w:val="21"/>
        </w:rPr>
        <w:t>professionals</w:t>
      </w:r>
      <w:bookmarkEnd w:id="19"/>
      <w:bookmarkEnd w:id="20"/>
    </w:p>
    <w:p w14:paraId="574E9366" w14:textId="00DAED76" w:rsidR="003438CE" w:rsidRPr="005B3110" w:rsidRDefault="00313477" w:rsidP="00316FB9">
      <w:pPr>
        <w:pStyle w:val="Bodycopy"/>
        <w:spacing w:line="240" w:lineRule="auto"/>
        <w:jc w:val="left"/>
        <w:rPr>
          <w:sz w:val="21"/>
          <w:szCs w:val="21"/>
        </w:rPr>
      </w:pPr>
      <w:r w:rsidRPr="005B3110">
        <w:rPr>
          <w:sz w:val="21"/>
          <w:szCs w:val="21"/>
        </w:rPr>
        <w:t>Regulation 6(2) of the Regulations excludes workers employed to participate as a contestant in a s</w:t>
      </w:r>
      <w:r w:rsidR="003F0B00" w:rsidRPr="005B3110">
        <w:rPr>
          <w:sz w:val="21"/>
          <w:szCs w:val="21"/>
        </w:rPr>
        <w:t xml:space="preserve">porting </w:t>
      </w:r>
      <w:r w:rsidRPr="005B3110">
        <w:rPr>
          <w:sz w:val="21"/>
          <w:szCs w:val="21"/>
        </w:rPr>
        <w:t>or athletic activity</w:t>
      </w:r>
      <w:r w:rsidRPr="005B3110">
        <w:rPr>
          <w:b/>
          <w:bCs/>
          <w:sz w:val="21"/>
          <w:szCs w:val="21"/>
        </w:rPr>
        <w:t xml:space="preserve"> </w:t>
      </w:r>
      <w:r w:rsidR="003F0B00" w:rsidRPr="005B3110">
        <w:rPr>
          <w:sz w:val="21"/>
          <w:szCs w:val="21"/>
        </w:rPr>
        <w:t xml:space="preserve">from cover under the Act. There are two exceptions to </w:t>
      </w:r>
      <w:r w:rsidRPr="005B3110">
        <w:rPr>
          <w:sz w:val="21"/>
          <w:szCs w:val="21"/>
        </w:rPr>
        <w:t>this</w:t>
      </w:r>
      <w:r w:rsidR="003F0B00" w:rsidRPr="005B3110">
        <w:rPr>
          <w:sz w:val="21"/>
          <w:szCs w:val="21"/>
        </w:rPr>
        <w:t xml:space="preserve"> exclusion. </w:t>
      </w:r>
      <w:r w:rsidRPr="005B3110">
        <w:rPr>
          <w:sz w:val="21"/>
          <w:szCs w:val="21"/>
        </w:rPr>
        <w:t xml:space="preserve">Regulation 6(3) </w:t>
      </w:r>
      <w:r w:rsidR="003438CE" w:rsidRPr="005B3110">
        <w:rPr>
          <w:sz w:val="21"/>
          <w:szCs w:val="21"/>
        </w:rPr>
        <w:t>provides that:</w:t>
      </w:r>
      <w:r w:rsidR="003F0B00" w:rsidRPr="005B3110">
        <w:rPr>
          <w:sz w:val="21"/>
          <w:szCs w:val="21"/>
        </w:rPr>
        <w:t xml:space="preserve"> </w:t>
      </w:r>
    </w:p>
    <w:p w14:paraId="2D1046F6" w14:textId="274C1AD8" w:rsidR="003438CE" w:rsidRPr="005B3110" w:rsidRDefault="00720FE3" w:rsidP="005B3110">
      <w:pPr>
        <w:pStyle w:val="Bodycopy"/>
        <w:numPr>
          <w:ilvl w:val="0"/>
          <w:numId w:val="4"/>
        </w:numPr>
        <w:spacing w:line="240" w:lineRule="auto"/>
        <w:ind w:left="284" w:hanging="284"/>
        <w:jc w:val="left"/>
        <w:rPr>
          <w:sz w:val="21"/>
          <w:szCs w:val="21"/>
        </w:rPr>
      </w:pPr>
      <w:r w:rsidRPr="005B3110">
        <w:rPr>
          <w:sz w:val="21"/>
          <w:szCs w:val="21"/>
        </w:rPr>
        <w:t xml:space="preserve">persons authorised or permitted riders/drivers by a controlling authority within the meaning of the </w:t>
      </w:r>
      <w:r w:rsidRPr="005B3110">
        <w:rPr>
          <w:i/>
          <w:sz w:val="21"/>
          <w:szCs w:val="21"/>
        </w:rPr>
        <w:t>Authorised Betting Operations Act 2000 to ride or drive in a race within the meaning of that Act</w:t>
      </w:r>
      <w:r w:rsidRPr="005B3110">
        <w:rPr>
          <w:sz w:val="21"/>
          <w:szCs w:val="21"/>
        </w:rPr>
        <w:t xml:space="preserve"> </w:t>
      </w:r>
      <w:r>
        <w:rPr>
          <w:sz w:val="21"/>
          <w:szCs w:val="21"/>
        </w:rPr>
        <w:t xml:space="preserve">; </w:t>
      </w:r>
      <w:r w:rsidR="003438CE" w:rsidRPr="005B3110">
        <w:rPr>
          <w:sz w:val="21"/>
          <w:szCs w:val="21"/>
        </w:rPr>
        <w:t>or</w:t>
      </w:r>
    </w:p>
    <w:p w14:paraId="0BD4FC35" w14:textId="1BE042E4" w:rsidR="00871ADF" w:rsidRPr="005B3110" w:rsidRDefault="00720FE3" w:rsidP="005B3110">
      <w:pPr>
        <w:pStyle w:val="Bodycopy"/>
        <w:numPr>
          <w:ilvl w:val="0"/>
          <w:numId w:val="4"/>
        </w:numPr>
        <w:spacing w:line="240" w:lineRule="auto"/>
        <w:ind w:left="284" w:hanging="284"/>
        <w:jc w:val="left"/>
        <w:rPr>
          <w:sz w:val="21"/>
          <w:szCs w:val="21"/>
        </w:rPr>
      </w:pPr>
      <w:r w:rsidRPr="005B3110">
        <w:rPr>
          <w:sz w:val="21"/>
          <w:szCs w:val="21"/>
        </w:rPr>
        <w:t>persons employed or engaged for a fee to take part in in a boxing/wrestling</w:t>
      </w:r>
      <w:r>
        <w:rPr>
          <w:sz w:val="21"/>
          <w:szCs w:val="21"/>
        </w:rPr>
        <w:t xml:space="preserve"> match</w:t>
      </w:r>
    </w:p>
    <w:p w14:paraId="157B50C7" w14:textId="145A04C9" w:rsidR="003438CE" w:rsidRPr="005B3110" w:rsidRDefault="00871ADF" w:rsidP="00871ADF">
      <w:pPr>
        <w:pStyle w:val="Bodycopy"/>
        <w:spacing w:line="240" w:lineRule="auto"/>
        <w:jc w:val="left"/>
        <w:rPr>
          <w:sz w:val="21"/>
          <w:szCs w:val="21"/>
        </w:rPr>
      </w:pPr>
      <w:r w:rsidRPr="005B3110">
        <w:rPr>
          <w:sz w:val="21"/>
          <w:szCs w:val="21"/>
        </w:rPr>
        <w:t>are not excluded from cover of the Act</w:t>
      </w:r>
      <w:r w:rsidR="003F0B00" w:rsidRPr="005B3110">
        <w:rPr>
          <w:sz w:val="21"/>
          <w:szCs w:val="21"/>
        </w:rPr>
        <w:t xml:space="preserve">. </w:t>
      </w:r>
    </w:p>
    <w:p w14:paraId="28B4DFE9" w14:textId="77777777" w:rsidR="00871ADF" w:rsidRPr="005B3110" w:rsidRDefault="00871ADF" w:rsidP="003438CE">
      <w:pPr>
        <w:pStyle w:val="Bodycopy"/>
        <w:spacing w:line="240" w:lineRule="auto"/>
        <w:jc w:val="left"/>
        <w:rPr>
          <w:sz w:val="21"/>
          <w:szCs w:val="21"/>
        </w:rPr>
      </w:pPr>
    </w:p>
    <w:p w14:paraId="06F340AF" w14:textId="52D8FD19" w:rsidR="003F0B00" w:rsidRPr="005B3110" w:rsidRDefault="003F0B00" w:rsidP="003438CE">
      <w:pPr>
        <w:pStyle w:val="Bodycopy"/>
        <w:spacing w:line="240" w:lineRule="auto"/>
        <w:jc w:val="left"/>
        <w:rPr>
          <w:sz w:val="21"/>
          <w:szCs w:val="21"/>
        </w:rPr>
      </w:pPr>
      <w:r w:rsidRPr="005B3110">
        <w:rPr>
          <w:sz w:val="21"/>
          <w:szCs w:val="21"/>
        </w:rPr>
        <w:t xml:space="preserve">However, persons in these categories would </w:t>
      </w:r>
      <w:r w:rsidR="00871ADF" w:rsidRPr="005B3110">
        <w:rPr>
          <w:sz w:val="21"/>
          <w:szCs w:val="21"/>
        </w:rPr>
        <w:t xml:space="preserve">still </w:t>
      </w:r>
      <w:r w:rsidRPr="005B3110">
        <w:rPr>
          <w:sz w:val="21"/>
          <w:szCs w:val="21"/>
        </w:rPr>
        <w:t>need to satisfy the contract of service test to be entitled to benefits under the Act. Please contact RTWSA for further clarification.</w:t>
      </w:r>
    </w:p>
    <w:p w14:paraId="3D052675" w14:textId="77777777" w:rsidR="003F0B00" w:rsidRPr="005B3110" w:rsidRDefault="003F0B00" w:rsidP="00316FB9">
      <w:pPr>
        <w:pStyle w:val="Bodycopy"/>
        <w:spacing w:line="240" w:lineRule="auto"/>
        <w:jc w:val="left"/>
        <w:rPr>
          <w:sz w:val="21"/>
          <w:szCs w:val="21"/>
        </w:rPr>
      </w:pPr>
    </w:p>
    <w:p w14:paraId="09A128C7" w14:textId="6049EA54" w:rsidR="003F0B00" w:rsidRPr="005B3110" w:rsidRDefault="003F0B00" w:rsidP="00316FB9">
      <w:pPr>
        <w:pStyle w:val="Bodycopy"/>
        <w:spacing w:line="240" w:lineRule="auto"/>
        <w:jc w:val="left"/>
        <w:rPr>
          <w:sz w:val="21"/>
          <w:szCs w:val="21"/>
        </w:rPr>
      </w:pPr>
      <w:r w:rsidRPr="005B3110">
        <w:rPr>
          <w:sz w:val="21"/>
          <w:szCs w:val="21"/>
        </w:rPr>
        <w:t xml:space="preserve">Information </w:t>
      </w:r>
      <w:r w:rsidR="00871ADF" w:rsidRPr="005B3110">
        <w:rPr>
          <w:sz w:val="21"/>
          <w:szCs w:val="21"/>
        </w:rPr>
        <w:t>about what constitutes</w:t>
      </w:r>
      <w:r w:rsidRPr="005B3110">
        <w:rPr>
          <w:sz w:val="21"/>
          <w:szCs w:val="21"/>
        </w:rPr>
        <w:t xml:space="preserve"> a contract of service is included in the</w:t>
      </w:r>
      <w:r w:rsidRPr="005B3110">
        <w:rPr>
          <w:i/>
          <w:sz w:val="21"/>
          <w:szCs w:val="21"/>
        </w:rPr>
        <w:t xml:space="preserve"> </w:t>
      </w:r>
      <w:r w:rsidR="00720FE3">
        <w:rPr>
          <w:i/>
          <w:sz w:val="21"/>
          <w:szCs w:val="21"/>
        </w:rPr>
        <w:t>Who is</w:t>
      </w:r>
      <w:r w:rsidRPr="005B3110">
        <w:rPr>
          <w:i/>
          <w:sz w:val="21"/>
          <w:szCs w:val="21"/>
        </w:rPr>
        <w:t xml:space="preserve"> a worker</w:t>
      </w:r>
      <w:r w:rsidRPr="005B3110">
        <w:rPr>
          <w:sz w:val="21"/>
          <w:szCs w:val="21"/>
        </w:rPr>
        <w:t xml:space="preserve"> brochure available </w:t>
      </w:r>
      <w:r w:rsidR="00C52834">
        <w:rPr>
          <w:sz w:val="21"/>
          <w:szCs w:val="21"/>
        </w:rPr>
        <w:t xml:space="preserve">on our website or </w:t>
      </w:r>
      <w:r w:rsidR="009C26B5">
        <w:rPr>
          <w:sz w:val="21"/>
          <w:szCs w:val="21"/>
        </w:rPr>
        <w:t xml:space="preserve">from </w:t>
      </w:r>
      <w:r w:rsidR="009C26B5" w:rsidRPr="004E1841">
        <w:rPr>
          <w:bCs/>
          <w:sz w:val="21"/>
          <w:szCs w:val="21"/>
        </w:rPr>
        <w:t>ReturnToWork</w:t>
      </w:r>
      <w:r w:rsidR="009C26B5">
        <w:rPr>
          <w:bCs/>
          <w:sz w:val="21"/>
          <w:szCs w:val="21"/>
        </w:rPr>
        <w:t>SA on 13 18 55.</w:t>
      </w:r>
      <w:hyperlink w:history="1"/>
    </w:p>
    <w:p w14:paraId="06A61EB5" w14:textId="77777777" w:rsidR="003F0B00" w:rsidRPr="005B3110" w:rsidRDefault="003F0B00" w:rsidP="00316FB9">
      <w:pPr>
        <w:pStyle w:val="Bodycopy"/>
        <w:spacing w:line="240" w:lineRule="auto"/>
        <w:jc w:val="left"/>
        <w:rPr>
          <w:sz w:val="21"/>
          <w:szCs w:val="21"/>
        </w:rPr>
      </w:pPr>
    </w:p>
    <w:p w14:paraId="2DF4B303" w14:textId="77777777" w:rsidR="003F0B00" w:rsidRPr="005B3110" w:rsidRDefault="003F0B00" w:rsidP="00316FB9">
      <w:pPr>
        <w:pStyle w:val="Heading1"/>
        <w:spacing w:line="240" w:lineRule="auto"/>
        <w:rPr>
          <w:sz w:val="21"/>
          <w:szCs w:val="21"/>
        </w:rPr>
      </w:pPr>
      <w:bookmarkStart w:id="21" w:name="_Toc275157999"/>
      <w:bookmarkStart w:id="22" w:name="_Toc416870471"/>
      <w:bookmarkStart w:id="23" w:name="_Toc417049972"/>
      <w:r w:rsidRPr="005B3110">
        <w:rPr>
          <w:sz w:val="21"/>
          <w:szCs w:val="21"/>
        </w:rPr>
        <w:t xml:space="preserve">Prescribed </w:t>
      </w:r>
      <w:bookmarkEnd w:id="21"/>
      <w:r w:rsidRPr="005B3110">
        <w:rPr>
          <w:sz w:val="21"/>
          <w:szCs w:val="21"/>
        </w:rPr>
        <w:t>volunteers</w:t>
      </w:r>
      <w:bookmarkEnd w:id="22"/>
      <w:bookmarkEnd w:id="23"/>
    </w:p>
    <w:p w14:paraId="3978416F" w14:textId="132648B2" w:rsidR="00CC43AE" w:rsidRPr="005B3110" w:rsidRDefault="003F0B00" w:rsidP="00316FB9">
      <w:pPr>
        <w:pStyle w:val="Bodycopy"/>
        <w:spacing w:line="240" w:lineRule="auto"/>
        <w:jc w:val="left"/>
        <w:rPr>
          <w:sz w:val="21"/>
          <w:szCs w:val="21"/>
        </w:rPr>
      </w:pPr>
      <w:r w:rsidRPr="005B3110">
        <w:rPr>
          <w:sz w:val="21"/>
          <w:szCs w:val="21"/>
        </w:rPr>
        <w:t>Under Schedule 1</w:t>
      </w:r>
      <w:r w:rsidR="00C46210" w:rsidRPr="005B3110">
        <w:rPr>
          <w:sz w:val="21"/>
          <w:szCs w:val="21"/>
        </w:rPr>
        <w:t xml:space="preserve"> of the Act</w:t>
      </w:r>
      <w:r w:rsidRPr="005B3110">
        <w:rPr>
          <w:sz w:val="21"/>
          <w:szCs w:val="21"/>
        </w:rPr>
        <w:t xml:space="preserve">, the Crown (the State) is the presumptive employer of </w:t>
      </w:r>
      <w:r w:rsidR="00807E5F" w:rsidRPr="005B3110">
        <w:rPr>
          <w:sz w:val="21"/>
          <w:szCs w:val="21"/>
        </w:rPr>
        <w:t>persons</w:t>
      </w:r>
      <w:r w:rsidRPr="005B3110">
        <w:rPr>
          <w:sz w:val="21"/>
          <w:szCs w:val="21"/>
        </w:rPr>
        <w:t xml:space="preserve"> </w:t>
      </w:r>
      <w:r w:rsidR="00807E5F" w:rsidRPr="005B3110">
        <w:rPr>
          <w:sz w:val="21"/>
          <w:szCs w:val="21"/>
        </w:rPr>
        <w:t xml:space="preserve">of a prescribed class who voluntarily undertake work of a prescribed class </w:t>
      </w:r>
      <w:r w:rsidRPr="005B3110">
        <w:rPr>
          <w:sz w:val="21"/>
          <w:szCs w:val="21"/>
        </w:rPr>
        <w:t xml:space="preserve">which is of benefit to the State. </w:t>
      </w:r>
    </w:p>
    <w:p w14:paraId="780FFC8A" w14:textId="77777777" w:rsidR="00163E70" w:rsidRPr="005B3110" w:rsidRDefault="00163E70" w:rsidP="00316FB9">
      <w:pPr>
        <w:pStyle w:val="Bodycopy"/>
        <w:spacing w:line="240" w:lineRule="auto"/>
        <w:jc w:val="left"/>
        <w:rPr>
          <w:sz w:val="21"/>
          <w:szCs w:val="21"/>
        </w:rPr>
      </w:pPr>
    </w:p>
    <w:p w14:paraId="42E71044" w14:textId="3AC85444" w:rsidR="005B2D19" w:rsidRPr="005B3110" w:rsidRDefault="00807E5F" w:rsidP="00316FB9">
      <w:pPr>
        <w:pStyle w:val="Bodycopy"/>
        <w:spacing w:line="240" w:lineRule="auto"/>
        <w:jc w:val="left"/>
        <w:rPr>
          <w:sz w:val="21"/>
          <w:szCs w:val="21"/>
        </w:rPr>
      </w:pPr>
      <w:r w:rsidRPr="005B3110">
        <w:rPr>
          <w:sz w:val="21"/>
          <w:szCs w:val="21"/>
        </w:rPr>
        <w:t>Schedule 1 of the Act and r</w:t>
      </w:r>
      <w:r w:rsidR="003F0B00" w:rsidRPr="005B3110">
        <w:rPr>
          <w:sz w:val="21"/>
          <w:szCs w:val="21"/>
        </w:rPr>
        <w:t xml:space="preserve">egulation 69 </w:t>
      </w:r>
      <w:r w:rsidRPr="005B3110">
        <w:rPr>
          <w:sz w:val="21"/>
          <w:szCs w:val="21"/>
        </w:rPr>
        <w:t xml:space="preserve">of the Regulations </w:t>
      </w:r>
      <w:r w:rsidR="003F0B00" w:rsidRPr="005B3110">
        <w:rPr>
          <w:sz w:val="21"/>
          <w:szCs w:val="21"/>
        </w:rPr>
        <w:t xml:space="preserve">set out the </w:t>
      </w:r>
      <w:r w:rsidRPr="005B3110">
        <w:rPr>
          <w:sz w:val="21"/>
          <w:szCs w:val="21"/>
        </w:rPr>
        <w:t xml:space="preserve">relevant </w:t>
      </w:r>
      <w:r w:rsidR="003F0B00" w:rsidRPr="005B3110">
        <w:rPr>
          <w:sz w:val="21"/>
          <w:szCs w:val="21"/>
        </w:rPr>
        <w:t xml:space="preserve">prescribed class of </w:t>
      </w:r>
      <w:r w:rsidRPr="005B3110">
        <w:rPr>
          <w:sz w:val="21"/>
          <w:szCs w:val="21"/>
        </w:rPr>
        <w:t xml:space="preserve">persons </w:t>
      </w:r>
      <w:r w:rsidR="003F0B00" w:rsidRPr="005B3110">
        <w:rPr>
          <w:sz w:val="21"/>
          <w:szCs w:val="21"/>
        </w:rPr>
        <w:t>which include</w:t>
      </w:r>
      <w:r w:rsidR="005B2D19" w:rsidRPr="005B3110">
        <w:rPr>
          <w:sz w:val="21"/>
          <w:szCs w:val="21"/>
        </w:rPr>
        <w:t>:</w:t>
      </w:r>
    </w:p>
    <w:p w14:paraId="6E629F35" w14:textId="15FFAB0B" w:rsidR="005B2D19" w:rsidRPr="005B3110" w:rsidRDefault="003F0B00" w:rsidP="005B3110">
      <w:pPr>
        <w:pStyle w:val="Bodycopy"/>
        <w:numPr>
          <w:ilvl w:val="0"/>
          <w:numId w:val="5"/>
        </w:numPr>
        <w:spacing w:line="240" w:lineRule="auto"/>
        <w:jc w:val="left"/>
        <w:rPr>
          <w:sz w:val="21"/>
          <w:szCs w:val="21"/>
        </w:rPr>
      </w:pPr>
      <w:r w:rsidRPr="005B3110">
        <w:rPr>
          <w:sz w:val="21"/>
          <w:szCs w:val="21"/>
        </w:rPr>
        <w:t xml:space="preserve">volunteer </w:t>
      </w:r>
      <w:r w:rsidR="005B2D19" w:rsidRPr="005B3110">
        <w:rPr>
          <w:sz w:val="21"/>
          <w:szCs w:val="21"/>
        </w:rPr>
        <w:t>South Australian State Emergency Service members</w:t>
      </w:r>
      <w:r w:rsidRPr="005B3110">
        <w:rPr>
          <w:sz w:val="21"/>
          <w:szCs w:val="21"/>
        </w:rPr>
        <w:t xml:space="preserve">, </w:t>
      </w:r>
    </w:p>
    <w:p w14:paraId="39378B9C" w14:textId="22F3B8D7" w:rsidR="007E13DA" w:rsidRPr="005B3110" w:rsidRDefault="007E13DA" w:rsidP="005B3110">
      <w:pPr>
        <w:pStyle w:val="Bodycopy"/>
        <w:numPr>
          <w:ilvl w:val="0"/>
          <w:numId w:val="5"/>
        </w:numPr>
        <w:spacing w:line="240" w:lineRule="auto"/>
        <w:jc w:val="left"/>
        <w:rPr>
          <w:sz w:val="21"/>
          <w:szCs w:val="21"/>
        </w:rPr>
      </w:pPr>
      <w:r w:rsidRPr="005B3110">
        <w:rPr>
          <w:sz w:val="21"/>
          <w:szCs w:val="21"/>
        </w:rPr>
        <w:t>volunteer marine rescue members.</w:t>
      </w:r>
    </w:p>
    <w:p w14:paraId="4A8DF0EC" w14:textId="2E7E9500" w:rsidR="003F0B00" w:rsidRDefault="003F0B00" w:rsidP="005B3110">
      <w:pPr>
        <w:pStyle w:val="Bodycopy"/>
        <w:numPr>
          <w:ilvl w:val="0"/>
          <w:numId w:val="5"/>
        </w:numPr>
        <w:spacing w:line="240" w:lineRule="auto"/>
        <w:jc w:val="left"/>
        <w:rPr>
          <w:sz w:val="21"/>
          <w:szCs w:val="21"/>
        </w:rPr>
      </w:pPr>
      <w:r w:rsidRPr="005B3110">
        <w:rPr>
          <w:sz w:val="21"/>
          <w:szCs w:val="21"/>
        </w:rPr>
        <w:t>members of the South Australian Country Fire Service</w:t>
      </w:r>
      <w:r w:rsidR="007E13DA" w:rsidRPr="005B3110">
        <w:rPr>
          <w:i/>
          <w:sz w:val="21"/>
          <w:szCs w:val="21"/>
        </w:rPr>
        <w:t xml:space="preserve"> </w:t>
      </w:r>
      <w:r w:rsidR="007E13DA" w:rsidRPr="005B3110">
        <w:rPr>
          <w:sz w:val="21"/>
          <w:szCs w:val="21"/>
        </w:rPr>
        <w:t>who voluntarily perform work</w:t>
      </w:r>
      <w:r w:rsidRPr="005B3110">
        <w:rPr>
          <w:sz w:val="21"/>
          <w:szCs w:val="21"/>
        </w:rPr>
        <w:t>.</w:t>
      </w:r>
    </w:p>
    <w:p w14:paraId="2DE73C51" w14:textId="77777777" w:rsidR="009C26B5" w:rsidRPr="005B3110" w:rsidRDefault="009C26B5" w:rsidP="009C26B5">
      <w:pPr>
        <w:pStyle w:val="Bodycopy"/>
        <w:spacing w:line="240" w:lineRule="auto"/>
        <w:jc w:val="left"/>
        <w:rPr>
          <w:sz w:val="21"/>
          <w:szCs w:val="21"/>
        </w:rPr>
      </w:pPr>
    </w:p>
    <w:p w14:paraId="1559CB06" w14:textId="4926DBBE" w:rsidR="007E13DA" w:rsidRPr="005B3110" w:rsidRDefault="00BD369B" w:rsidP="005B3110">
      <w:pPr>
        <w:spacing w:line="240" w:lineRule="auto"/>
        <w:rPr>
          <w:sz w:val="21"/>
          <w:szCs w:val="21"/>
        </w:rPr>
      </w:pPr>
      <w:r w:rsidRPr="005B3110">
        <w:rPr>
          <w:sz w:val="21"/>
          <w:szCs w:val="21"/>
        </w:rPr>
        <w:t xml:space="preserve">Refer to </w:t>
      </w:r>
      <w:r w:rsidR="007E13DA" w:rsidRPr="005B3110">
        <w:rPr>
          <w:sz w:val="21"/>
          <w:szCs w:val="21"/>
        </w:rPr>
        <w:t>Schedule 1 of the Act and regulation 69 of the Regulations</w:t>
      </w:r>
      <w:r w:rsidRPr="005B3110">
        <w:rPr>
          <w:sz w:val="21"/>
          <w:szCs w:val="21"/>
        </w:rPr>
        <w:t xml:space="preserve"> which also</w:t>
      </w:r>
      <w:r w:rsidR="007E13DA" w:rsidRPr="005B3110">
        <w:rPr>
          <w:sz w:val="21"/>
          <w:szCs w:val="21"/>
        </w:rPr>
        <w:t xml:space="preserve"> set out </w:t>
      </w:r>
      <w:r w:rsidRPr="005B3110">
        <w:rPr>
          <w:sz w:val="21"/>
          <w:szCs w:val="21"/>
        </w:rPr>
        <w:t xml:space="preserve">detailed descriptions of </w:t>
      </w:r>
      <w:r w:rsidR="007E13DA" w:rsidRPr="005B3110">
        <w:rPr>
          <w:sz w:val="21"/>
          <w:szCs w:val="21"/>
        </w:rPr>
        <w:t xml:space="preserve">the prescribed work </w:t>
      </w:r>
    </w:p>
    <w:p w14:paraId="1A9200B1" w14:textId="77777777" w:rsidR="00067599" w:rsidRPr="005B3110" w:rsidRDefault="00067599" w:rsidP="00316FB9">
      <w:pPr>
        <w:pStyle w:val="Heading1"/>
        <w:spacing w:line="240" w:lineRule="auto"/>
        <w:rPr>
          <w:sz w:val="21"/>
          <w:szCs w:val="21"/>
        </w:rPr>
      </w:pPr>
      <w:bookmarkStart w:id="24" w:name="_Toc416870472"/>
      <w:bookmarkStart w:id="25" w:name="_Toc417049973"/>
    </w:p>
    <w:p w14:paraId="08E51365" w14:textId="77777777" w:rsidR="003F0B00" w:rsidRPr="005B3110" w:rsidRDefault="003F0B00" w:rsidP="00316FB9">
      <w:pPr>
        <w:pStyle w:val="Heading1"/>
        <w:spacing w:line="240" w:lineRule="auto"/>
        <w:rPr>
          <w:sz w:val="21"/>
          <w:szCs w:val="21"/>
        </w:rPr>
      </w:pPr>
      <w:r w:rsidRPr="005B3110">
        <w:rPr>
          <w:sz w:val="21"/>
          <w:szCs w:val="21"/>
        </w:rPr>
        <w:t>Other volunteers</w:t>
      </w:r>
      <w:bookmarkEnd w:id="24"/>
      <w:bookmarkEnd w:id="25"/>
    </w:p>
    <w:p w14:paraId="5725C230" w14:textId="1B7FB725" w:rsidR="003F0B00" w:rsidRPr="005B3110" w:rsidRDefault="003F0B00" w:rsidP="00316FB9">
      <w:pPr>
        <w:spacing w:line="240" w:lineRule="auto"/>
        <w:jc w:val="left"/>
        <w:rPr>
          <w:sz w:val="21"/>
          <w:szCs w:val="21"/>
        </w:rPr>
      </w:pPr>
      <w:r w:rsidRPr="005B3110">
        <w:rPr>
          <w:sz w:val="21"/>
          <w:szCs w:val="21"/>
        </w:rPr>
        <w:t xml:space="preserve">Volunteers of </w:t>
      </w:r>
      <w:r w:rsidR="00BD369B" w:rsidRPr="005B3110">
        <w:rPr>
          <w:sz w:val="21"/>
          <w:szCs w:val="21"/>
        </w:rPr>
        <w:t xml:space="preserve">any other </w:t>
      </w:r>
      <w:r w:rsidRPr="005B3110">
        <w:rPr>
          <w:sz w:val="21"/>
          <w:szCs w:val="21"/>
        </w:rPr>
        <w:t xml:space="preserve">organisations not paid remuneration are </w:t>
      </w:r>
      <w:r w:rsidRPr="005B3110">
        <w:rPr>
          <w:b/>
          <w:bCs/>
          <w:sz w:val="21"/>
          <w:szCs w:val="21"/>
        </w:rPr>
        <w:t xml:space="preserve">not covered </w:t>
      </w:r>
      <w:r w:rsidRPr="005B3110">
        <w:rPr>
          <w:sz w:val="21"/>
          <w:szCs w:val="21"/>
        </w:rPr>
        <w:t xml:space="preserve">under the Act. </w:t>
      </w:r>
    </w:p>
    <w:p w14:paraId="5E9783A0" w14:textId="77777777" w:rsidR="003F0B00" w:rsidRPr="005B3110" w:rsidRDefault="003F0B00" w:rsidP="00316FB9">
      <w:pPr>
        <w:spacing w:line="240" w:lineRule="auto"/>
        <w:jc w:val="left"/>
        <w:rPr>
          <w:b/>
          <w:bCs/>
          <w:sz w:val="21"/>
          <w:szCs w:val="21"/>
        </w:rPr>
      </w:pPr>
    </w:p>
    <w:p w14:paraId="75A1894F" w14:textId="77777777" w:rsidR="003F0B00" w:rsidRPr="005B3110" w:rsidRDefault="003F0B00" w:rsidP="00316FB9">
      <w:pPr>
        <w:pStyle w:val="Heading1"/>
        <w:spacing w:line="240" w:lineRule="auto"/>
        <w:rPr>
          <w:sz w:val="21"/>
          <w:szCs w:val="21"/>
        </w:rPr>
      </w:pPr>
      <w:bookmarkStart w:id="26" w:name="_Toc275158001"/>
      <w:bookmarkStart w:id="27" w:name="_Toc416870473"/>
      <w:bookmarkStart w:id="28" w:name="_Toc417049974"/>
      <w:r w:rsidRPr="005B3110">
        <w:rPr>
          <w:sz w:val="21"/>
          <w:szCs w:val="21"/>
        </w:rPr>
        <w:t xml:space="preserve">Work </w:t>
      </w:r>
      <w:bookmarkEnd w:id="26"/>
      <w:r w:rsidRPr="005B3110">
        <w:rPr>
          <w:sz w:val="21"/>
          <w:szCs w:val="21"/>
        </w:rPr>
        <w:t>experience</w:t>
      </w:r>
      <w:bookmarkEnd w:id="27"/>
      <w:bookmarkEnd w:id="28"/>
    </w:p>
    <w:p w14:paraId="511D8306" w14:textId="0DA1C6F5" w:rsidR="003F0B00" w:rsidRPr="005B3110" w:rsidRDefault="003F0B00" w:rsidP="00316FB9">
      <w:pPr>
        <w:spacing w:line="240" w:lineRule="auto"/>
        <w:jc w:val="left"/>
        <w:rPr>
          <w:sz w:val="21"/>
          <w:szCs w:val="21"/>
        </w:rPr>
      </w:pPr>
      <w:r w:rsidRPr="005B3110">
        <w:rPr>
          <w:sz w:val="21"/>
          <w:szCs w:val="21"/>
        </w:rPr>
        <w:t xml:space="preserve">Work experience, where no remuneration is paid, is not a contract of service. A valid contract is </w:t>
      </w:r>
      <w:r w:rsidR="00BD369B" w:rsidRPr="005B3110">
        <w:rPr>
          <w:sz w:val="21"/>
          <w:szCs w:val="21"/>
        </w:rPr>
        <w:t xml:space="preserve">generally </w:t>
      </w:r>
      <w:r w:rsidRPr="005B3110">
        <w:rPr>
          <w:sz w:val="21"/>
          <w:szCs w:val="21"/>
        </w:rPr>
        <w:t>only created between two separate legal entities, where some consideration (usually money) is involved.</w:t>
      </w:r>
    </w:p>
    <w:p w14:paraId="74386999" w14:textId="77777777" w:rsidR="003F0B00" w:rsidRPr="005B3110" w:rsidRDefault="003F0B00" w:rsidP="00316FB9">
      <w:pPr>
        <w:spacing w:line="240" w:lineRule="auto"/>
        <w:jc w:val="left"/>
        <w:rPr>
          <w:sz w:val="21"/>
          <w:szCs w:val="21"/>
        </w:rPr>
      </w:pPr>
      <w:r w:rsidRPr="005B3110">
        <w:rPr>
          <w:sz w:val="21"/>
          <w:szCs w:val="21"/>
        </w:rPr>
        <w:t>Enquiries from students/employers should be directed to Centrelink officers or insurance companies to establish which insurance schemes cover students who are on work experience.</w:t>
      </w:r>
    </w:p>
    <w:p w14:paraId="33380C6B" w14:textId="77777777" w:rsidR="003F0B00" w:rsidRPr="005B3110" w:rsidRDefault="003F0B00" w:rsidP="00316FB9">
      <w:pPr>
        <w:spacing w:line="240" w:lineRule="auto"/>
        <w:jc w:val="left"/>
        <w:rPr>
          <w:b/>
          <w:bCs/>
          <w:sz w:val="21"/>
          <w:szCs w:val="21"/>
        </w:rPr>
      </w:pPr>
    </w:p>
    <w:p w14:paraId="084125B0" w14:textId="77777777" w:rsidR="003F0B00" w:rsidRPr="005B3110" w:rsidRDefault="003F0B00" w:rsidP="00316FB9">
      <w:pPr>
        <w:pStyle w:val="Heading1"/>
        <w:spacing w:line="240" w:lineRule="auto"/>
        <w:rPr>
          <w:sz w:val="21"/>
          <w:szCs w:val="21"/>
        </w:rPr>
      </w:pPr>
      <w:bookmarkStart w:id="29" w:name="_Toc275158002"/>
      <w:bookmarkStart w:id="30" w:name="_Toc416870474"/>
      <w:bookmarkStart w:id="31" w:name="_Toc417049975"/>
      <w:r w:rsidRPr="005B3110">
        <w:rPr>
          <w:sz w:val="21"/>
          <w:szCs w:val="21"/>
        </w:rPr>
        <w:t xml:space="preserve">Self-employed </w:t>
      </w:r>
      <w:bookmarkEnd w:id="29"/>
      <w:r w:rsidRPr="005B3110">
        <w:rPr>
          <w:sz w:val="21"/>
          <w:szCs w:val="21"/>
        </w:rPr>
        <w:t>persons</w:t>
      </w:r>
      <w:bookmarkEnd w:id="30"/>
      <w:bookmarkEnd w:id="31"/>
    </w:p>
    <w:p w14:paraId="464F88FC" w14:textId="6F6030BE" w:rsidR="003F0B00" w:rsidRPr="005B3110" w:rsidRDefault="003F0B00" w:rsidP="00316FB9">
      <w:pPr>
        <w:spacing w:line="240" w:lineRule="auto"/>
        <w:jc w:val="left"/>
        <w:rPr>
          <w:sz w:val="21"/>
          <w:szCs w:val="21"/>
        </w:rPr>
      </w:pPr>
      <w:r w:rsidRPr="005B3110">
        <w:rPr>
          <w:sz w:val="21"/>
          <w:szCs w:val="21"/>
        </w:rPr>
        <w:t xml:space="preserve">Generally, self-employed persons are </w:t>
      </w:r>
      <w:r w:rsidRPr="005B3110">
        <w:rPr>
          <w:b/>
          <w:bCs/>
          <w:sz w:val="21"/>
          <w:szCs w:val="21"/>
        </w:rPr>
        <w:t xml:space="preserve">not workers </w:t>
      </w:r>
      <w:r w:rsidRPr="005B3110">
        <w:rPr>
          <w:sz w:val="21"/>
          <w:szCs w:val="21"/>
        </w:rPr>
        <w:t xml:space="preserve">and are not provided coverage under the Act. However, a person working in a prescribed class of work and who meets certain criteria </w:t>
      </w:r>
      <w:r w:rsidRPr="005B3110">
        <w:rPr>
          <w:b/>
          <w:bCs/>
          <w:sz w:val="21"/>
          <w:szCs w:val="21"/>
        </w:rPr>
        <w:t>may be considered</w:t>
      </w:r>
      <w:r w:rsidRPr="005B3110">
        <w:rPr>
          <w:sz w:val="21"/>
          <w:szCs w:val="21"/>
        </w:rPr>
        <w:t xml:space="preserve"> a worker</w:t>
      </w:r>
      <w:r w:rsidR="006C270D" w:rsidRPr="005B3110">
        <w:rPr>
          <w:sz w:val="21"/>
          <w:szCs w:val="21"/>
        </w:rPr>
        <w:t xml:space="preserve"> of a principal</w:t>
      </w:r>
      <w:r w:rsidRPr="005B3110">
        <w:rPr>
          <w:sz w:val="21"/>
          <w:szCs w:val="21"/>
        </w:rPr>
        <w:t>.</w:t>
      </w:r>
    </w:p>
    <w:p w14:paraId="7447004A" w14:textId="77777777" w:rsidR="003F0B00" w:rsidRPr="005B3110" w:rsidRDefault="003F0B00" w:rsidP="00316FB9">
      <w:pPr>
        <w:spacing w:line="240" w:lineRule="auto"/>
        <w:jc w:val="left"/>
        <w:rPr>
          <w:b/>
          <w:bCs/>
          <w:sz w:val="21"/>
          <w:szCs w:val="21"/>
        </w:rPr>
      </w:pPr>
    </w:p>
    <w:p w14:paraId="62E3016E" w14:textId="77777777" w:rsidR="003F0B00" w:rsidRPr="005B3110" w:rsidRDefault="003F0B00" w:rsidP="00316FB9">
      <w:pPr>
        <w:pStyle w:val="Heading1"/>
        <w:spacing w:line="240" w:lineRule="auto"/>
        <w:rPr>
          <w:sz w:val="21"/>
          <w:szCs w:val="21"/>
        </w:rPr>
      </w:pPr>
      <w:bookmarkStart w:id="32" w:name="_Toc275158003"/>
      <w:bookmarkStart w:id="33" w:name="_Toc416870475"/>
      <w:bookmarkStart w:id="34" w:name="_Toc417049976"/>
      <w:r w:rsidRPr="005B3110">
        <w:rPr>
          <w:sz w:val="21"/>
          <w:szCs w:val="21"/>
        </w:rPr>
        <w:t>Partners</w:t>
      </w:r>
      <w:bookmarkEnd w:id="32"/>
      <w:bookmarkEnd w:id="33"/>
      <w:bookmarkEnd w:id="34"/>
    </w:p>
    <w:p w14:paraId="39BABE0A" w14:textId="557F85F0" w:rsidR="003F0B00" w:rsidRPr="005B3110" w:rsidRDefault="003F0B00" w:rsidP="00316FB9">
      <w:pPr>
        <w:spacing w:line="240" w:lineRule="auto"/>
        <w:jc w:val="left"/>
        <w:rPr>
          <w:sz w:val="21"/>
          <w:szCs w:val="21"/>
        </w:rPr>
      </w:pPr>
      <w:r w:rsidRPr="005B3110">
        <w:rPr>
          <w:sz w:val="21"/>
          <w:szCs w:val="21"/>
        </w:rPr>
        <w:t>A partnership exists where there is a</w:t>
      </w:r>
      <w:r w:rsidR="006C270D" w:rsidRPr="005B3110">
        <w:rPr>
          <w:sz w:val="21"/>
          <w:szCs w:val="21"/>
        </w:rPr>
        <w:t xml:space="preserve"> business</w:t>
      </w:r>
      <w:r w:rsidRPr="005B3110">
        <w:rPr>
          <w:sz w:val="21"/>
          <w:szCs w:val="21"/>
        </w:rPr>
        <w:t xml:space="preserve"> association </w:t>
      </w:r>
      <w:r w:rsidR="005B3110" w:rsidRPr="005B3110">
        <w:rPr>
          <w:sz w:val="21"/>
          <w:szCs w:val="21"/>
        </w:rPr>
        <w:t>between</w:t>
      </w:r>
      <w:r w:rsidRPr="005B3110">
        <w:rPr>
          <w:sz w:val="21"/>
          <w:szCs w:val="21"/>
        </w:rPr>
        <w:t xml:space="preserve"> two or more people (or in some cases differing types of legal entities) who contribute towards a business with a view to making a profit.</w:t>
      </w:r>
    </w:p>
    <w:p w14:paraId="4C1960BF" w14:textId="77777777" w:rsidR="003F0B00" w:rsidRPr="005B3110" w:rsidRDefault="003F0B00" w:rsidP="00316FB9">
      <w:pPr>
        <w:spacing w:line="240" w:lineRule="auto"/>
        <w:jc w:val="left"/>
        <w:rPr>
          <w:sz w:val="21"/>
          <w:szCs w:val="21"/>
        </w:rPr>
      </w:pPr>
    </w:p>
    <w:p w14:paraId="04A1546F" w14:textId="0F5D06C3" w:rsidR="003F0B00" w:rsidRPr="005B3110" w:rsidRDefault="003F0B00" w:rsidP="00316FB9">
      <w:pPr>
        <w:spacing w:line="240" w:lineRule="auto"/>
        <w:jc w:val="left"/>
        <w:rPr>
          <w:sz w:val="21"/>
          <w:szCs w:val="21"/>
        </w:rPr>
      </w:pPr>
      <w:r w:rsidRPr="005B3110">
        <w:rPr>
          <w:sz w:val="21"/>
          <w:szCs w:val="21"/>
        </w:rPr>
        <w:t xml:space="preserve">Partners are </w:t>
      </w:r>
      <w:r w:rsidRPr="005B3110">
        <w:rPr>
          <w:b/>
          <w:bCs/>
          <w:sz w:val="21"/>
          <w:szCs w:val="21"/>
        </w:rPr>
        <w:t>not usually considered to be workers</w:t>
      </w:r>
      <w:r w:rsidRPr="005B3110">
        <w:rPr>
          <w:sz w:val="21"/>
          <w:szCs w:val="21"/>
        </w:rPr>
        <w:t>;</w:t>
      </w:r>
      <w:r w:rsidRPr="005B3110" w:rsidDel="00C91EFC">
        <w:rPr>
          <w:sz w:val="21"/>
          <w:szCs w:val="21"/>
        </w:rPr>
        <w:t xml:space="preserve"> </w:t>
      </w:r>
      <w:r w:rsidRPr="005B3110">
        <w:rPr>
          <w:sz w:val="21"/>
          <w:szCs w:val="21"/>
        </w:rPr>
        <w:t xml:space="preserve">they cannot employ themselves and are not required to be registered unless the partnership employs workers. However, a </w:t>
      </w:r>
      <w:r w:rsidRPr="005B3110">
        <w:rPr>
          <w:b/>
          <w:bCs/>
          <w:sz w:val="21"/>
          <w:szCs w:val="21"/>
        </w:rPr>
        <w:t xml:space="preserve">partner working in a prescribed class of work and meeting certain criteria may be taken to be a worker </w:t>
      </w:r>
      <w:r w:rsidRPr="005B3110">
        <w:rPr>
          <w:sz w:val="21"/>
          <w:szCs w:val="21"/>
        </w:rPr>
        <w:t xml:space="preserve">and the principal contracting </w:t>
      </w:r>
      <w:r w:rsidR="006C270D" w:rsidRPr="005B3110">
        <w:rPr>
          <w:sz w:val="21"/>
          <w:szCs w:val="21"/>
        </w:rPr>
        <w:t xml:space="preserve">with </w:t>
      </w:r>
      <w:r w:rsidRPr="005B3110">
        <w:rPr>
          <w:sz w:val="21"/>
          <w:szCs w:val="21"/>
        </w:rPr>
        <w:t xml:space="preserve">the partner </w:t>
      </w:r>
      <w:r w:rsidR="006C270D" w:rsidRPr="005B3110">
        <w:rPr>
          <w:sz w:val="21"/>
          <w:szCs w:val="21"/>
        </w:rPr>
        <w:t>taken to be the employer</w:t>
      </w:r>
      <w:r w:rsidRPr="005B3110">
        <w:rPr>
          <w:sz w:val="21"/>
          <w:szCs w:val="21"/>
        </w:rPr>
        <w:t>.</w:t>
      </w:r>
    </w:p>
    <w:p w14:paraId="3C30E005" w14:textId="77777777" w:rsidR="003F0B00" w:rsidRPr="005B3110" w:rsidRDefault="003F0B00" w:rsidP="00316FB9">
      <w:pPr>
        <w:spacing w:line="240" w:lineRule="auto"/>
        <w:jc w:val="left"/>
        <w:rPr>
          <w:b/>
          <w:bCs/>
          <w:sz w:val="21"/>
          <w:szCs w:val="21"/>
        </w:rPr>
      </w:pPr>
    </w:p>
    <w:p w14:paraId="3A0EF469" w14:textId="0EE5DF3B" w:rsidR="003F0B00" w:rsidRPr="005B3110" w:rsidRDefault="003F0B00" w:rsidP="00316FB9">
      <w:pPr>
        <w:spacing w:line="240" w:lineRule="auto"/>
        <w:jc w:val="left"/>
        <w:rPr>
          <w:b/>
          <w:bCs/>
          <w:sz w:val="21"/>
          <w:szCs w:val="21"/>
        </w:rPr>
      </w:pPr>
      <w:r w:rsidRPr="005B3110">
        <w:rPr>
          <w:b/>
          <w:bCs/>
          <w:sz w:val="21"/>
          <w:szCs w:val="21"/>
        </w:rPr>
        <w:t>N</w:t>
      </w:r>
      <w:r w:rsidR="00C46210" w:rsidRPr="005B3110">
        <w:rPr>
          <w:b/>
          <w:bCs/>
          <w:sz w:val="21"/>
          <w:szCs w:val="21"/>
        </w:rPr>
        <w:t>ote</w:t>
      </w:r>
      <w:r w:rsidRPr="005B3110">
        <w:rPr>
          <w:b/>
          <w:bCs/>
          <w:sz w:val="21"/>
          <w:szCs w:val="21"/>
        </w:rPr>
        <w:t xml:space="preserve">: </w:t>
      </w:r>
      <w:r w:rsidRPr="005B3110">
        <w:rPr>
          <w:bCs/>
          <w:sz w:val="21"/>
          <w:szCs w:val="21"/>
        </w:rPr>
        <w:t>Trusts cannot legally employ</w:t>
      </w:r>
      <w:r w:rsidR="006C270D" w:rsidRPr="005B3110">
        <w:rPr>
          <w:bCs/>
          <w:sz w:val="21"/>
          <w:szCs w:val="21"/>
        </w:rPr>
        <w:t xml:space="preserve"> workers</w:t>
      </w:r>
      <w:r w:rsidRPr="005B3110">
        <w:rPr>
          <w:bCs/>
          <w:sz w:val="21"/>
          <w:szCs w:val="21"/>
        </w:rPr>
        <w:t>.</w:t>
      </w:r>
    </w:p>
    <w:p w14:paraId="6AC33CC1" w14:textId="77777777" w:rsidR="003F0B00" w:rsidRPr="005B3110" w:rsidRDefault="003F0B00" w:rsidP="00316FB9">
      <w:pPr>
        <w:spacing w:line="240" w:lineRule="auto"/>
        <w:jc w:val="left"/>
        <w:rPr>
          <w:b/>
          <w:bCs/>
          <w:sz w:val="21"/>
          <w:szCs w:val="21"/>
        </w:rPr>
      </w:pPr>
    </w:p>
    <w:p w14:paraId="18583AF0" w14:textId="1FD1D7BD" w:rsidR="00163E70" w:rsidRPr="005B3110" w:rsidRDefault="003F0B00" w:rsidP="00F27FCE">
      <w:pPr>
        <w:spacing w:line="240" w:lineRule="auto"/>
        <w:jc w:val="left"/>
        <w:rPr>
          <w:bCs/>
          <w:sz w:val="21"/>
          <w:szCs w:val="21"/>
        </w:rPr>
      </w:pPr>
      <w:r w:rsidRPr="005B3110">
        <w:rPr>
          <w:bCs/>
          <w:sz w:val="21"/>
          <w:szCs w:val="21"/>
        </w:rPr>
        <w:t xml:space="preserve">If further clarification is needed please contact </w:t>
      </w:r>
      <w:r w:rsidR="00163E70" w:rsidRPr="005B3110">
        <w:rPr>
          <w:bCs/>
          <w:sz w:val="21"/>
          <w:szCs w:val="21"/>
        </w:rPr>
        <w:t>ReturnToWorkSA on 13 18 55 for assistance.</w:t>
      </w:r>
    </w:p>
    <w:p w14:paraId="605A0D63" w14:textId="77777777" w:rsidR="00163E70" w:rsidRPr="005B3110" w:rsidRDefault="00163E70" w:rsidP="00F27FCE">
      <w:pPr>
        <w:spacing w:line="240" w:lineRule="auto"/>
        <w:jc w:val="left"/>
        <w:rPr>
          <w:bCs/>
          <w:sz w:val="21"/>
          <w:szCs w:val="21"/>
        </w:rPr>
      </w:pPr>
    </w:p>
    <w:p w14:paraId="504E2123" w14:textId="77777777" w:rsidR="00163E70" w:rsidRPr="005B3110" w:rsidRDefault="00163E70" w:rsidP="00F27FCE">
      <w:pPr>
        <w:spacing w:line="240" w:lineRule="auto"/>
        <w:jc w:val="left"/>
        <w:rPr>
          <w:bCs/>
          <w:sz w:val="21"/>
          <w:szCs w:val="21"/>
        </w:rPr>
      </w:pPr>
    </w:p>
    <w:p w14:paraId="5FEEE977" w14:textId="77777777" w:rsidR="00C46210" w:rsidRPr="005B3110" w:rsidRDefault="00C46210" w:rsidP="00F27FCE">
      <w:pPr>
        <w:spacing w:line="240" w:lineRule="auto"/>
        <w:jc w:val="left"/>
        <w:rPr>
          <w:rFonts w:eastAsiaTheme="majorEastAsia" w:cstheme="majorBidi"/>
          <w:b/>
          <w:bCs/>
          <w:sz w:val="21"/>
          <w:szCs w:val="21"/>
        </w:rPr>
        <w:sectPr w:rsidR="00C46210" w:rsidRPr="005B3110" w:rsidSect="005B3110">
          <w:type w:val="continuous"/>
          <w:pgSz w:w="11900" w:h="16840" w:code="9"/>
          <w:pgMar w:top="567" w:right="737" w:bottom="567" w:left="737" w:header="794" w:footer="737" w:gutter="0"/>
          <w:cols w:num="2" w:space="674"/>
          <w:titlePg/>
          <w:docGrid w:linePitch="360"/>
        </w:sectPr>
      </w:pPr>
    </w:p>
    <w:p w14:paraId="3306FB66" w14:textId="77777777" w:rsidR="009C26B5" w:rsidRPr="005B3110" w:rsidRDefault="009C26B5" w:rsidP="005B3110"/>
    <w:p w14:paraId="1B01B51D" w14:textId="77777777" w:rsidR="009C26B5" w:rsidRDefault="009C26B5" w:rsidP="005B3110"/>
    <w:p w14:paraId="2B8DCA2A" w14:textId="77777777" w:rsidR="009C26B5" w:rsidRPr="005B3110" w:rsidRDefault="009C26B5" w:rsidP="005B3110"/>
    <w:p w14:paraId="02DBC3B6" w14:textId="77777777" w:rsidR="00C46210" w:rsidRPr="005B3110" w:rsidRDefault="00C46210" w:rsidP="00C46210">
      <w:pPr>
        <w:pStyle w:val="Heading1"/>
        <w:spacing w:line="240" w:lineRule="auto"/>
        <w:rPr>
          <w:sz w:val="21"/>
          <w:szCs w:val="21"/>
        </w:rPr>
      </w:pPr>
      <w:r w:rsidRPr="005B3110">
        <w:rPr>
          <w:sz w:val="21"/>
          <w:szCs w:val="21"/>
        </w:rPr>
        <w:t>Disclaimer</w:t>
      </w:r>
    </w:p>
    <w:p w14:paraId="1D8E9BC8" w14:textId="385EAD28" w:rsidR="00F27FCE" w:rsidRPr="005B3110" w:rsidRDefault="00C46210" w:rsidP="00316FB9">
      <w:pPr>
        <w:pStyle w:val="Bodycopy"/>
        <w:spacing w:line="240" w:lineRule="auto"/>
        <w:jc w:val="left"/>
        <w:rPr>
          <w:sz w:val="21"/>
          <w:szCs w:val="21"/>
        </w:rPr>
      </w:pPr>
      <w:r w:rsidRPr="005B3110">
        <w:rPr>
          <w:sz w:val="21"/>
          <w:szCs w:val="21"/>
        </w:rPr>
        <w:t>The information produced by ReturnToWorkSA in this publication is correct at the time of printing and is provided as general information only</w:t>
      </w:r>
      <w:r w:rsidR="00F907AC" w:rsidRPr="005B3110">
        <w:rPr>
          <w:sz w:val="21"/>
          <w:szCs w:val="21"/>
        </w:rPr>
        <w:t xml:space="preserve"> and not as legal advice</w:t>
      </w:r>
      <w:r w:rsidRPr="005B3110">
        <w:rPr>
          <w:sz w:val="21"/>
          <w:szCs w:val="21"/>
        </w:rPr>
        <w:t>. In utilising general information about workplace health and safety and work injury management, the specific issues relevant to your workplace should always be considered</w:t>
      </w:r>
      <w:r w:rsidR="00F907AC" w:rsidRPr="005B3110">
        <w:rPr>
          <w:sz w:val="21"/>
          <w:szCs w:val="21"/>
        </w:rPr>
        <w:t xml:space="preserve"> and advice obtained</w:t>
      </w:r>
      <w:r w:rsidRPr="005B3110">
        <w:rPr>
          <w:sz w:val="21"/>
          <w:szCs w:val="21"/>
        </w:rPr>
        <w:t xml:space="preserve">. This publication is not intended as a substitute for the requirements of the </w:t>
      </w:r>
      <w:r w:rsidRPr="005B3110">
        <w:rPr>
          <w:i/>
          <w:iCs/>
          <w:sz w:val="21"/>
          <w:szCs w:val="21"/>
        </w:rPr>
        <w:t xml:space="preserve">Return to Work Act 2014 </w:t>
      </w:r>
      <w:r w:rsidRPr="005B3110">
        <w:rPr>
          <w:sz w:val="21"/>
          <w:szCs w:val="21"/>
        </w:rPr>
        <w:t xml:space="preserve">or the </w:t>
      </w:r>
      <w:r w:rsidRPr="005B3110">
        <w:rPr>
          <w:i/>
          <w:iCs/>
          <w:sz w:val="21"/>
          <w:szCs w:val="21"/>
        </w:rPr>
        <w:t>Work Health and Safety Act 2012.</w:t>
      </w:r>
    </w:p>
    <w:sectPr w:rsidR="00F27FCE" w:rsidRPr="005B3110"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432E" w14:textId="77777777" w:rsidR="00C22616" w:rsidRDefault="00C22616" w:rsidP="00365C6A">
      <w:r>
        <w:separator/>
      </w:r>
    </w:p>
  </w:endnote>
  <w:endnote w:type="continuationSeparator" w:id="0">
    <w:p w14:paraId="176ECBD3" w14:textId="77777777" w:rsidR="00C22616" w:rsidRDefault="00C22616"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AA87" w14:textId="77777777" w:rsidR="00140E6B" w:rsidRDefault="00F35C2B"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60DB" w14:textId="77777777" w:rsidR="00101217" w:rsidRDefault="00F35C2B"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95A8" w14:textId="77777777" w:rsidR="00C22616" w:rsidRDefault="00C22616" w:rsidP="00365C6A">
      <w:r>
        <w:separator/>
      </w:r>
    </w:p>
  </w:footnote>
  <w:footnote w:type="continuationSeparator" w:id="0">
    <w:p w14:paraId="72158E13" w14:textId="77777777" w:rsidR="00C22616" w:rsidRDefault="00C22616"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ABF6" w14:textId="77777777" w:rsidR="00101217" w:rsidRDefault="00F35C2B" w:rsidP="00D074B6">
    <w:pPr>
      <w:pStyle w:val="Header"/>
      <w:jc w:val="center"/>
    </w:pPr>
    <w:r>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5166A"/>
    <w:multiLevelType w:val="hybridMultilevel"/>
    <w:tmpl w:val="572228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BD2C96"/>
    <w:multiLevelType w:val="hybridMultilevel"/>
    <w:tmpl w:val="6828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110AF9"/>
    <w:multiLevelType w:val="hybridMultilevel"/>
    <w:tmpl w:val="8E9C7BC2"/>
    <w:lvl w:ilvl="0" w:tplc="88B65350">
      <w:start w:val="1"/>
      <w:numFmt w:val="lowerLetter"/>
      <w:lvlText w:val="%1)"/>
      <w:lvlJc w:val="left"/>
      <w:pPr>
        <w:ind w:left="365" w:hanging="360"/>
      </w:pPr>
      <w:rPr>
        <w:rFonts w:hint="default"/>
      </w:rPr>
    </w:lvl>
    <w:lvl w:ilvl="1" w:tplc="0C090019" w:tentative="1">
      <w:start w:val="1"/>
      <w:numFmt w:val="lowerLetter"/>
      <w:lvlText w:val="%2."/>
      <w:lvlJc w:val="left"/>
      <w:pPr>
        <w:ind w:left="1085" w:hanging="360"/>
      </w:pPr>
    </w:lvl>
    <w:lvl w:ilvl="2" w:tplc="0C09001B" w:tentative="1">
      <w:start w:val="1"/>
      <w:numFmt w:val="lowerRoman"/>
      <w:lvlText w:val="%3."/>
      <w:lvlJc w:val="right"/>
      <w:pPr>
        <w:ind w:left="1805" w:hanging="180"/>
      </w:pPr>
    </w:lvl>
    <w:lvl w:ilvl="3" w:tplc="0C09000F" w:tentative="1">
      <w:start w:val="1"/>
      <w:numFmt w:val="decimal"/>
      <w:lvlText w:val="%4."/>
      <w:lvlJc w:val="left"/>
      <w:pPr>
        <w:ind w:left="2525" w:hanging="360"/>
      </w:pPr>
    </w:lvl>
    <w:lvl w:ilvl="4" w:tplc="0C090019" w:tentative="1">
      <w:start w:val="1"/>
      <w:numFmt w:val="lowerLetter"/>
      <w:lvlText w:val="%5."/>
      <w:lvlJc w:val="left"/>
      <w:pPr>
        <w:ind w:left="3245" w:hanging="360"/>
      </w:pPr>
    </w:lvl>
    <w:lvl w:ilvl="5" w:tplc="0C09001B" w:tentative="1">
      <w:start w:val="1"/>
      <w:numFmt w:val="lowerRoman"/>
      <w:lvlText w:val="%6."/>
      <w:lvlJc w:val="right"/>
      <w:pPr>
        <w:ind w:left="3965" w:hanging="180"/>
      </w:pPr>
    </w:lvl>
    <w:lvl w:ilvl="6" w:tplc="0C09000F" w:tentative="1">
      <w:start w:val="1"/>
      <w:numFmt w:val="decimal"/>
      <w:lvlText w:val="%7."/>
      <w:lvlJc w:val="left"/>
      <w:pPr>
        <w:ind w:left="4685" w:hanging="360"/>
      </w:pPr>
    </w:lvl>
    <w:lvl w:ilvl="7" w:tplc="0C090019" w:tentative="1">
      <w:start w:val="1"/>
      <w:numFmt w:val="lowerLetter"/>
      <w:lvlText w:val="%8."/>
      <w:lvlJc w:val="left"/>
      <w:pPr>
        <w:ind w:left="5405" w:hanging="360"/>
      </w:pPr>
    </w:lvl>
    <w:lvl w:ilvl="8" w:tplc="0C09001B" w:tentative="1">
      <w:start w:val="1"/>
      <w:numFmt w:val="lowerRoman"/>
      <w:lvlText w:val="%9."/>
      <w:lvlJc w:val="right"/>
      <w:pPr>
        <w:ind w:left="6125" w:hanging="180"/>
      </w:pPr>
    </w:lvl>
  </w:abstractNum>
  <w:abstractNum w:abstractNumId="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CE"/>
    <w:rsid w:val="00040529"/>
    <w:rsid w:val="00043462"/>
    <w:rsid w:val="00067599"/>
    <w:rsid w:val="000824B2"/>
    <w:rsid w:val="000B0D05"/>
    <w:rsid w:val="000C706D"/>
    <w:rsid w:val="000D3EAD"/>
    <w:rsid w:val="00101217"/>
    <w:rsid w:val="00112900"/>
    <w:rsid w:val="001327FF"/>
    <w:rsid w:val="00133CB4"/>
    <w:rsid w:val="00140E6B"/>
    <w:rsid w:val="00163E70"/>
    <w:rsid w:val="00184278"/>
    <w:rsid w:val="001873DB"/>
    <w:rsid w:val="00195455"/>
    <w:rsid w:val="001C6E4A"/>
    <w:rsid w:val="001E25C6"/>
    <w:rsid w:val="00211801"/>
    <w:rsid w:val="002218AC"/>
    <w:rsid w:val="00280EC5"/>
    <w:rsid w:val="002935F5"/>
    <w:rsid w:val="002A0B64"/>
    <w:rsid w:val="00313477"/>
    <w:rsid w:val="00316FB9"/>
    <w:rsid w:val="00332233"/>
    <w:rsid w:val="003438CE"/>
    <w:rsid w:val="00365C6A"/>
    <w:rsid w:val="00384379"/>
    <w:rsid w:val="003F0B00"/>
    <w:rsid w:val="00446E3B"/>
    <w:rsid w:val="004A5BB1"/>
    <w:rsid w:val="004C0D84"/>
    <w:rsid w:val="00500305"/>
    <w:rsid w:val="00516F8A"/>
    <w:rsid w:val="00522391"/>
    <w:rsid w:val="00531BC0"/>
    <w:rsid w:val="005330C7"/>
    <w:rsid w:val="005739C9"/>
    <w:rsid w:val="00585A81"/>
    <w:rsid w:val="005B2D19"/>
    <w:rsid w:val="005B3110"/>
    <w:rsid w:val="005E5DAA"/>
    <w:rsid w:val="006741C9"/>
    <w:rsid w:val="0067696D"/>
    <w:rsid w:val="00677B28"/>
    <w:rsid w:val="0068158A"/>
    <w:rsid w:val="00697756"/>
    <w:rsid w:val="006C270D"/>
    <w:rsid w:val="006D40AB"/>
    <w:rsid w:val="00717242"/>
    <w:rsid w:val="00720FE3"/>
    <w:rsid w:val="007A5C13"/>
    <w:rsid w:val="007E13DA"/>
    <w:rsid w:val="00807E5F"/>
    <w:rsid w:val="008135B0"/>
    <w:rsid w:val="0085023A"/>
    <w:rsid w:val="0085638D"/>
    <w:rsid w:val="00871ADF"/>
    <w:rsid w:val="00872A9C"/>
    <w:rsid w:val="008B253F"/>
    <w:rsid w:val="008D5F4A"/>
    <w:rsid w:val="00920F0C"/>
    <w:rsid w:val="00954BBA"/>
    <w:rsid w:val="009559CA"/>
    <w:rsid w:val="009A49B9"/>
    <w:rsid w:val="009C26B5"/>
    <w:rsid w:val="009E54F7"/>
    <w:rsid w:val="00A16F70"/>
    <w:rsid w:val="00A23263"/>
    <w:rsid w:val="00AA5A66"/>
    <w:rsid w:val="00B0617E"/>
    <w:rsid w:val="00B23400"/>
    <w:rsid w:val="00B30424"/>
    <w:rsid w:val="00B445B8"/>
    <w:rsid w:val="00B6738A"/>
    <w:rsid w:val="00B813CC"/>
    <w:rsid w:val="00BD369B"/>
    <w:rsid w:val="00BF6BBF"/>
    <w:rsid w:val="00C051EB"/>
    <w:rsid w:val="00C13A5F"/>
    <w:rsid w:val="00C147A7"/>
    <w:rsid w:val="00C22616"/>
    <w:rsid w:val="00C365A6"/>
    <w:rsid w:val="00C46210"/>
    <w:rsid w:val="00C52834"/>
    <w:rsid w:val="00C67E1D"/>
    <w:rsid w:val="00C96A3C"/>
    <w:rsid w:val="00CC43AE"/>
    <w:rsid w:val="00CE11E9"/>
    <w:rsid w:val="00CE294B"/>
    <w:rsid w:val="00CE5996"/>
    <w:rsid w:val="00D074B6"/>
    <w:rsid w:val="00D1171E"/>
    <w:rsid w:val="00D467E4"/>
    <w:rsid w:val="00D4773F"/>
    <w:rsid w:val="00D54FF1"/>
    <w:rsid w:val="00D60C97"/>
    <w:rsid w:val="00D9414E"/>
    <w:rsid w:val="00DD0D58"/>
    <w:rsid w:val="00E13D29"/>
    <w:rsid w:val="00E27E27"/>
    <w:rsid w:val="00E42687"/>
    <w:rsid w:val="00E72AE0"/>
    <w:rsid w:val="00EA26A1"/>
    <w:rsid w:val="00EA46FB"/>
    <w:rsid w:val="00EB1AF4"/>
    <w:rsid w:val="00F27FCE"/>
    <w:rsid w:val="00F3195B"/>
    <w:rsid w:val="00F35C2B"/>
    <w:rsid w:val="00F833D2"/>
    <w:rsid w:val="00F907AC"/>
    <w:rsid w:val="00FC5D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B48E5EF"/>
  <w14:defaultImageDpi w14:val="300"/>
  <w15:docId w15:val="{8C147552-4E35-40C0-9EF0-003381FE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C46210"/>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C46210"/>
    <w:rPr>
      <w:rFonts w:ascii="Source Sans Pro" w:hAnsi="Source Sans Pro" w:cs="SourceSansPro-Light"/>
      <w:b/>
      <w:bCs/>
      <w:color w:val="000000"/>
      <w:sz w:val="20"/>
      <w:szCs w:val="20"/>
      <w:lang w:val="en-US"/>
    </w:rPr>
  </w:style>
  <w:style w:type="paragraph" w:styleId="Revision">
    <w:name w:val="Revision"/>
    <w:hidden/>
    <w:uiPriority w:val="99"/>
    <w:semiHidden/>
    <w:rsid w:val="006C270D"/>
    <w:rPr>
      <w:rFonts w:ascii="Source Sans Pro" w:hAnsi="Source Sans Pro" w:cs="SourceSansPro-Light"/>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CMADE7FWUXKN-8-2505</_dlc_DocId>
    <_dlc_DocIdUrl xmlns="2390ccce-7ce2-4a27-bffd-5da01fd4464a">
      <Url>http://nexus/_layouts/DocIdRedir.aspx?ID=CMADE7FWUXKN-8-2505</Url>
      <Description>CMADE7FWUXKN-8-2505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4160-4544-4CE4-A9A3-840630415A07}">
  <ds:schemaRefs>
    <ds:schemaRef ds:uri="http://schemas.microsoft.com/office/2006/customDocumentInformationPanel"/>
  </ds:schemaRefs>
</ds:datastoreItem>
</file>

<file path=customXml/itemProps2.xml><?xml version="1.0" encoding="utf-8"?>
<ds:datastoreItem xmlns:ds="http://schemas.openxmlformats.org/officeDocument/2006/customXml" ds:itemID="{28D78D59-342F-4E90-B575-B75486028730}">
  <ds:schemaRefs>
    <ds:schemaRef ds:uri="http://schemas.microsoft.com/sharepoint/events"/>
  </ds:schemaRefs>
</ds:datastoreItem>
</file>

<file path=customXml/itemProps3.xml><?xml version="1.0" encoding="utf-8"?>
<ds:datastoreItem xmlns:ds="http://schemas.openxmlformats.org/officeDocument/2006/customXml" ds:itemID="{75EADCC9-3E41-49CD-9600-4D82F187D50D}">
  <ds:schemaRefs>
    <ds:schemaRef ds:uri="http://schemas.microsoft.com/sharepoint/v3/contenttype/forms"/>
  </ds:schemaRefs>
</ds:datastoreItem>
</file>

<file path=customXml/itemProps4.xml><?xml version="1.0" encoding="utf-8"?>
<ds:datastoreItem xmlns:ds="http://schemas.openxmlformats.org/officeDocument/2006/customXml" ds:itemID="{890EC2D5-2B7C-485C-A954-5C634468D735}">
  <ds:schemaRefs>
    <ds:schemaRef ds:uri="http://schemas.microsoft.com/office/infopath/2007/PartnerControls"/>
    <ds:schemaRef ds:uri="2390ccce-7ce2-4a27-bffd-5da01fd4464a"/>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EB2C6A5-AA6A-4DA5-83A4-1A68311D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AD127A-99BC-4187-85C5-1A6095CE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header.dotx</Template>
  <TotalTime>2</TotalTime>
  <Pages>2</Pages>
  <Words>1128</Words>
  <Characters>5872</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Miscellaneous classes guide</vt:lpstr>
    </vt:vector>
  </TitlesOfParts>
  <Company>ReturnToWorkSA</Company>
  <LinksUpToDate>false</LinksUpToDate>
  <CharactersWithSpaces>6969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classes guide</dc:title>
  <dc:subject>deemed and excluded workers</dc:subject>
  <dc:creator>ReturnToWorkSA</dc:creator>
  <cp:keywords>prescribed class</cp:keywords>
  <cp:lastModifiedBy>Holt, Shirley</cp:lastModifiedBy>
  <cp:revision>4</cp:revision>
  <cp:lastPrinted>2015-06-29T03:18:00Z</cp:lastPrinted>
  <dcterms:created xsi:type="dcterms:W3CDTF">2021-04-07T01:22:00Z</dcterms:created>
  <dcterms:modified xsi:type="dcterms:W3CDTF">2021-04-08T06:34:00Z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7eeb739a-c7e6-46df-8f32-ddc42804f2a0</vt:lpwstr>
  </property>
  <property fmtid="{D5CDD505-2E9C-101B-9397-08002B2CF9AE}" pid="3" name="ContentTypeId">
    <vt:lpwstr>0x0101003E4EF8F25723974FA257E6768FA33D50</vt:lpwstr>
  </property>
</Properties>
</file>