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19648F">
      <w:pPr>
        <w:pStyle w:val="Title1"/>
        <w:jc w:val="center"/>
        <w:rPr>
          <w:sz w:val="28"/>
          <w:szCs w:val="28"/>
        </w:rPr>
      </w:pPr>
      <w:r>
        <w:rPr>
          <w:szCs w:val="120"/>
        </w:rPr>
        <w:t>Early Medical Assessmen</w:t>
      </w:r>
      <w:r w:rsidR="0093609F">
        <w:rPr>
          <w:szCs w:val="120"/>
        </w:rPr>
        <w:t>t</w:t>
      </w:r>
    </w:p>
    <w:p w:rsidR="009F1B29" w:rsidRDefault="0019648F" w:rsidP="0019648F">
      <w:pPr>
        <w:pStyle w:val="Title1"/>
        <w:jc w:val="center"/>
        <w:rPr>
          <w:b w:val="0"/>
          <w:sz w:val="28"/>
          <w:szCs w:val="28"/>
        </w:rPr>
      </w:pPr>
      <w:r w:rsidRPr="0019648F">
        <w:rPr>
          <w:b w:val="0"/>
          <w:noProof/>
          <w:sz w:val="28"/>
          <w:szCs w:val="28"/>
          <w:lang w:eastAsia="en-AU"/>
        </w:rPr>
        <w:drawing>
          <wp:inline distT="0" distB="0" distL="0" distR="0">
            <wp:extent cx="3183086" cy="3168000"/>
            <wp:effectExtent l="19050" t="0" r="0" b="0"/>
            <wp:docPr id="6" name="Picture 3" descr="L:\RTW Fund Project\Stage Two SAWIC Codes 485301 &amp; 488301\Fruit and Vegetable Retailing\Farmer Joe's Barn\IMG_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Fruit and Vegetable Retailing\Farmer Joe's Barn\IMG_0761.JPG"/>
                    <pic:cNvPicPr>
                      <a:picLocks noChangeAspect="1" noChangeArrowheads="1"/>
                    </pic:cNvPicPr>
                  </pic:nvPicPr>
                  <pic:blipFill>
                    <a:blip r:embed="rId8" cstate="print"/>
                    <a:srcRect/>
                    <a:stretch>
                      <a:fillRect/>
                    </a:stretch>
                  </pic:blipFill>
                  <pic:spPr bwMode="auto">
                    <a:xfrm>
                      <a:off x="0" y="0"/>
                      <a:ext cx="3183086" cy="3168000"/>
                    </a:xfrm>
                    <a:prstGeom prst="rect">
                      <a:avLst/>
                    </a:prstGeom>
                    <a:noFill/>
                    <a:ln w="9525">
                      <a:noFill/>
                      <a:miter lim="800000"/>
                      <a:headEnd/>
                      <a:tailEnd/>
                    </a:ln>
                  </pic:spPr>
                </pic:pic>
              </a:graphicData>
            </a:graphic>
          </wp:inline>
        </w:drawing>
      </w:r>
    </w:p>
    <w:p w:rsidR="0019648F" w:rsidRPr="0019648F" w:rsidRDefault="0019648F" w:rsidP="0019648F">
      <w:pPr>
        <w:pStyle w:val="Title1"/>
        <w:jc w:val="center"/>
        <w:rPr>
          <w:b w:val="0"/>
          <w:sz w:val="28"/>
          <w:szCs w:val="28"/>
        </w:rPr>
      </w:pPr>
    </w:p>
    <w:p w:rsidR="003A5C49" w:rsidRPr="00F74F73" w:rsidRDefault="003A5C49" w:rsidP="003A5C49">
      <w:pPr>
        <w:pStyle w:val="Title1"/>
        <w:rPr>
          <w:sz w:val="72"/>
          <w:szCs w:val="120"/>
        </w:rPr>
      </w:pPr>
      <w:r>
        <w:rPr>
          <w:sz w:val="72"/>
          <w:szCs w:val="120"/>
        </w:rPr>
        <w:t>Fruit and Vegetable Retailer</w:t>
      </w:r>
    </w:p>
    <w:p w:rsidR="003A5C49" w:rsidRPr="00F74F73" w:rsidRDefault="003A5C49" w:rsidP="003A5C49">
      <w:pPr>
        <w:pStyle w:val="Title1"/>
        <w:rPr>
          <w:sz w:val="50"/>
          <w:szCs w:val="50"/>
        </w:rPr>
      </w:pPr>
      <w:r>
        <w:rPr>
          <w:sz w:val="50"/>
          <w:szCs w:val="50"/>
        </w:rPr>
        <w:t>Storeman/Deliveries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19648F" w:rsidRDefault="0019648F" w:rsidP="0056372D">
      <w:pPr>
        <w:pStyle w:val="Title3"/>
        <w:spacing w:before="0"/>
        <w:ind w:left="357" w:hanging="357"/>
      </w:pPr>
      <w:r>
        <w:lastRenderedPageBreak/>
        <w:t>Fruit and Vegetable Retailer</w:t>
      </w:r>
    </w:p>
    <w:p w:rsidR="008C4FE7" w:rsidRDefault="003A5C49" w:rsidP="0056372D">
      <w:pPr>
        <w:pStyle w:val="Title3"/>
        <w:spacing w:before="0"/>
        <w:ind w:left="357" w:hanging="357"/>
      </w:pPr>
      <w:r>
        <w:t>Storeman/Deliveries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04495D" w:rsidTr="000C31B2">
        <w:trPr>
          <w:cantSplit/>
          <w:trHeight w:hRule="exact" w:val="5910"/>
        </w:trPr>
        <w:tc>
          <w:tcPr>
            <w:tcW w:w="2034" w:type="pct"/>
          </w:tcPr>
          <w:p w:rsidR="00470FB6" w:rsidRDefault="000B61AE" w:rsidP="0056372D">
            <w:pPr>
              <w:pStyle w:val="tNormal"/>
              <w:jc w:val="center"/>
            </w:pPr>
            <w:r>
              <w:rPr>
                <w:noProof/>
              </w:rPr>
              <w:drawing>
                <wp:inline distT="0" distB="0" distL="0" distR="0">
                  <wp:extent cx="1590675" cy="1590675"/>
                  <wp:effectExtent l="19050" t="0" r="9525" b="0"/>
                  <wp:docPr id="7" name="Picture 4" descr="L:\RTW Fund Project\Stage Two SAWIC Codes 485301 &amp; 488301\Fruit and Vegetable Retailing\Farmer Joe's Barn\IMG_0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Fruit and Vegetable Retailing\Farmer Joe's Barn\IMG_0771.JPG"/>
                          <pic:cNvPicPr>
                            <a:picLocks noChangeAspect="1" noChangeArrowheads="1"/>
                          </pic:cNvPicPr>
                        </pic:nvPicPr>
                        <pic:blipFill>
                          <a:blip r:embed="rId10" cstate="print"/>
                          <a:srcRect/>
                          <a:stretch>
                            <a:fillRect/>
                          </a:stretch>
                        </pic:blipFill>
                        <pic:spPr bwMode="auto">
                          <a:xfrm>
                            <a:off x="0" y="0"/>
                            <a:ext cx="1588663" cy="1588663"/>
                          </a:xfrm>
                          <a:prstGeom prst="rect">
                            <a:avLst/>
                          </a:prstGeom>
                          <a:noFill/>
                          <a:ln w="9525">
                            <a:noFill/>
                            <a:miter lim="800000"/>
                            <a:headEnd/>
                            <a:tailEnd/>
                          </a:ln>
                        </pic:spPr>
                      </pic:pic>
                    </a:graphicData>
                  </a:graphic>
                </wp:inline>
              </w:drawing>
            </w:r>
          </w:p>
          <w:p w:rsidR="000B61AE" w:rsidRDefault="00865544" w:rsidP="0056372D">
            <w:pPr>
              <w:pStyle w:val="tNormal"/>
              <w:jc w:val="center"/>
            </w:pPr>
            <w:r>
              <w:rPr>
                <w:rFonts w:ascii="Times New Roman" w:hAnsi="Times New Roman"/>
                <w:sz w:val="24"/>
              </w:rPr>
              <w:pict>
                <v:oval id="_x0000_s1026" style="position:absolute;left:0;text-align:left;margin-left:91.3pt;margin-top:8.2pt;width:22.4pt;height:21.2pt;z-index:251658240">
                  <v:fill color2="fill darken(118)" rotate="t" method="linear sigma" focus="-50%" type="gradient"/>
                </v:oval>
              </w:pict>
            </w:r>
            <w:r w:rsidR="000B61AE">
              <w:rPr>
                <w:noProof/>
              </w:rPr>
              <w:drawing>
                <wp:inline distT="0" distB="0" distL="0" distR="0">
                  <wp:extent cx="1581150" cy="1657350"/>
                  <wp:effectExtent l="19050" t="0" r="0" b="0"/>
                  <wp:docPr id="9" name="Picture 6" descr="L:\RTW Fund Project\Stage Two SAWIC Codes 485301 &amp; 488301\Fruit and Vegetable Retailing\Farmer Joe's Barn\IMG_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Fruit and Vegetable Retailing\Farmer Joe's Barn\IMG_0527.JPG"/>
                          <pic:cNvPicPr>
                            <a:picLocks noChangeAspect="1" noChangeArrowheads="1"/>
                          </pic:cNvPicPr>
                        </pic:nvPicPr>
                        <pic:blipFill>
                          <a:blip r:embed="rId11" cstate="print"/>
                          <a:srcRect/>
                          <a:stretch>
                            <a:fillRect/>
                          </a:stretch>
                        </pic:blipFill>
                        <pic:spPr bwMode="auto">
                          <a:xfrm>
                            <a:off x="0" y="0"/>
                            <a:ext cx="1581139" cy="1657338"/>
                          </a:xfrm>
                          <a:prstGeom prst="rect">
                            <a:avLst/>
                          </a:prstGeom>
                          <a:noFill/>
                          <a:ln w="9525">
                            <a:noFill/>
                            <a:miter lim="800000"/>
                            <a:headEnd/>
                            <a:tailEnd/>
                          </a:ln>
                        </pic:spPr>
                      </pic:pic>
                    </a:graphicData>
                  </a:graphic>
                </wp:inline>
              </w:drawing>
            </w:r>
          </w:p>
        </w:tc>
        <w:tc>
          <w:tcPr>
            <w:tcW w:w="1483" w:type="pct"/>
          </w:tcPr>
          <w:p w:rsidR="006169AE" w:rsidRDefault="0019648F" w:rsidP="006169AE">
            <w:pPr>
              <w:pStyle w:val="tBullet1000"/>
              <w:numPr>
                <w:ilvl w:val="0"/>
                <w:numId w:val="0"/>
              </w:numPr>
              <w:spacing w:line="240" w:lineRule="auto"/>
              <w:ind w:left="284" w:hanging="284"/>
              <w:rPr>
                <w:b/>
              </w:rPr>
            </w:pPr>
            <w:r>
              <w:rPr>
                <w:b/>
              </w:rPr>
              <w:t>Setting Up Shop – Morning</w:t>
            </w:r>
          </w:p>
          <w:p w:rsidR="0019648F" w:rsidRPr="0076521B" w:rsidRDefault="0019648F" w:rsidP="000C31B2">
            <w:pPr>
              <w:pStyle w:val="tBullet1000"/>
              <w:rPr>
                <w:b/>
              </w:rPr>
            </w:pPr>
            <w:r>
              <w:t>Moving display bins to front (outside) of store using pallet jacks</w:t>
            </w:r>
          </w:p>
          <w:p w:rsidR="0076521B" w:rsidRPr="0076521B" w:rsidRDefault="0076521B" w:rsidP="000C31B2">
            <w:pPr>
              <w:pStyle w:val="tBullet1000"/>
              <w:rPr>
                <w:b/>
              </w:rPr>
            </w:pPr>
            <w:r>
              <w:t>Access</w:t>
            </w:r>
            <w:r w:rsidR="003F6BAB">
              <w:t>ing</w:t>
            </w:r>
            <w:r>
              <w:t xml:space="preserve"> and stack</w:t>
            </w:r>
            <w:r w:rsidR="003F6BAB">
              <w:t>ing</w:t>
            </w:r>
            <w:r>
              <w:t xml:space="preserve"> crates from</w:t>
            </w:r>
            <w:r w:rsidR="003F6BAB">
              <w:t xml:space="preserve"> floor level to approximately 1</w:t>
            </w:r>
            <w:r>
              <w:t>8</w:t>
            </w:r>
            <w:r w:rsidR="003F6BAB">
              <w:t>00m</w:t>
            </w:r>
            <w:r>
              <w:t xml:space="preserve">m requiring constant squatting, twisting, </w:t>
            </w:r>
            <w:r w:rsidR="003F6BAB">
              <w:t xml:space="preserve">and </w:t>
            </w:r>
            <w:r>
              <w:t>bending</w:t>
            </w:r>
          </w:p>
          <w:p w:rsidR="0076521B" w:rsidRDefault="0076521B" w:rsidP="000C31B2">
            <w:pPr>
              <w:pStyle w:val="tBullet1000"/>
            </w:pPr>
            <w:r>
              <w:t>Loading and unpacking trolleys with 5kg bags</w:t>
            </w:r>
            <w:r w:rsidR="000B61AE">
              <w:t xml:space="preserve"> </w:t>
            </w:r>
            <w:r>
              <w:t xml:space="preserve"> </w:t>
            </w:r>
          </w:p>
          <w:p w:rsidR="0076521B" w:rsidRDefault="000B61AE" w:rsidP="000C31B2">
            <w:pPr>
              <w:pStyle w:val="tBullet1000"/>
            </w:pPr>
            <w:r>
              <w:t>Goods also moved in trolleys (up to 100kg load)</w:t>
            </w:r>
          </w:p>
          <w:p w:rsidR="0076521B" w:rsidRDefault="0076521B" w:rsidP="006169AE">
            <w:pPr>
              <w:pStyle w:val="ListBullet"/>
              <w:numPr>
                <w:ilvl w:val="0"/>
                <w:numId w:val="0"/>
              </w:numPr>
              <w:spacing w:before="120" w:line="360" w:lineRule="auto"/>
            </w:pPr>
          </w:p>
          <w:p w:rsidR="006169AE" w:rsidRDefault="00E55897" w:rsidP="00E55897">
            <w:pPr>
              <w:pStyle w:val="ListBullet"/>
              <w:numPr>
                <w:ilvl w:val="0"/>
                <w:numId w:val="0"/>
              </w:numPr>
              <w:spacing w:before="120" w:line="360" w:lineRule="auto"/>
              <w:rPr>
                <w:b/>
              </w:rPr>
            </w:pPr>
            <w:r>
              <w:rPr>
                <w:b/>
              </w:rPr>
              <w:t>Bringing In Stock – Evening</w:t>
            </w:r>
          </w:p>
          <w:p w:rsidR="00E55897" w:rsidRPr="00E55897" w:rsidRDefault="00E55897" w:rsidP="000C31B2">
            <w:pPr>
              <w:pStyle w:val="tBullet1000"/>
              <w:rPr>
                <w:b/>
              </w:rPr>
            </w:pPr>
            <w:r>
              <w:t xml:space="preserve">Moving display bins into </w:t>
            </w:r>
          </w:p>
          <w:p w:rsidR="00E55897" w:rsidRDefault="00E55897" w:rsidP="000C31B2">
            <w:pPr>
              <w:pStyle w:val="tBullet1000"/>
            </w:pPr>
            <w:r>
              <w:t>store using pallet jacks</w:t>
            </w:r>
          </w:p>
          <w:p w:rsidR="00E55897" w:rsidRPr="00E55897" w:rsidRDefault="00E55897" w:rsidP="000C31B2">
            <w:pPr>
              <w:pStyle w:val="tBullet1000"/>
            </w:pPr>
            <w:r>
              <w:t>Goods also moved back in trolleys</w:t>
            </w:r>
          </w:p>
          <w:p w:rsidR="00E55897" w:rsidRPr="00E55897" w:rsidRDefault="00E55897" w:rsidP="006169AE">
            <w:pPr>
              <w:pStyle w:val="ListBullet"/>
              <w:numPr>
                <w:ilvl w:val="0"/>
                <w:numId w:val="0"/>
              </w:numPr>
              <w:spacing w:before="120" w:line="360" w:lineRule="auto"/>
              <w:rPr>
                <w:b/>
              </w:rPr>
            </w:pPr>
          </w:p>
          <w:p w:rsidR="0019648F" w:rsidRPr="0019648F" w:rsidRDefault="0019648F" w:rsidP="0019648F">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76278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50342A">
              <w:rPr>
                <w:rFonts w:ascii="Times New Roman" w:hAnsi="Times New Roman"/>
                <w:sz w:val="24"/>
              </w:rPr>
              <w:t xml:space="preserve"> </w:t>
            </w:r>
          </w:p>
        </w:tc>
      </w:tr>
      <w:tr w:rsidR="0004495D" w:rsidTr="0061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8"/>
        </w:trPr>
        <w:tc>
          <w:tcPr>
            <w:tcW w:w="2034" w:type="pct"/>
          </w:tcPr>
          <w:p w:rsidR="00470FB6" w:rsidRDefault="00B942F7" w:rsidP="003A5C49">
            <w:pPr>
              <w:pStyle w:val="tNormal"/>
              <w:jc w:val="center"/>
            </w:pPr>
            <w:r>
              <w:rPr>
                <w:noProof/>
              </w:rPr>
              <w:drawing>
                <wp:inline distT="0" distB="0" distL="0" distR="0">
                  <wp:extent cx="1628775" cy="1733550"/>
                  <wp:effectExtent l="19050" t="0" r="9525" b="0"/>
                  <wp:docPr id="11" name="Picture 10" descr="L:\RTW Fund Project\Stage Two SAWIC Codes 485301 &amp; 488301\Fruit and Vegetable Retailing\Farmer Joe's Barn\IMG_0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wo SAWIC Codes 485301 &amp; 488301\Fruit and Vegetable Retailing\Farmer Joe's Barn\IMG_0776.JPG"/>
                          <pic:cNvPicPr>
                            <a:picLocks noChangeAspect="1" noChangeArrowheads="1"/>
                          </pic:cNvPicPr>
                        </pic:nvPicPr>
                        <pic:blipFill>
                          <a:blip r:embed="rId12" cstate="print"/>
                          <a:srcRect/>
                          <a:stretch>
                            <a:fillRect/>
                          </a:stretch>
                        </pic:blipFill>
                        <pic:spPr bwMode="auto">
                          <a:xfrm>
                            <a:off x="0" y="0"/>
                            <a:ext cx="1631711" cy="1736675"/>
                          </a:xfrm>
                          <a:prstGeom prst="rect">
                            <a:avLst/>
                          </a:prstGeom>
                          <a:noFill/>
                          <a:ln w="9525">
                            <a:noFill/>
                            <a:miter lim="800000"/>
                            <a:headEnd/>
                            <a:tailEnd/>
                          </a:ln>
                        </pic:spPr>
                      </pic:pic>
                    </a:graphicData>
                  </a:graphic>
                </wp:inline>
              </w:drawing>
            </w:r>
          </w:p>
        </w:tc>
        <w:tc>
          <w:tcPr>
            <w:tcW w:w="1483" w:type="pct"/>
          </w:tcPr>
          <w:p w:rsidR="0004495D" w:rsidRDefault="0004495D" w:rsidP="0004495D">
            <w:pPr>
              <w:pStyle w:val="tBullet1000"/>
              <w:numPr>
                <w:ilvl w:val="0"/>
                <w:numId w:val="0"/>
              </w:numPr>
              <w:rPr>
                <w:b/>
              </w:rPr>
            </w:pPr>
            <w:r>
              <w:rPr>
                <w:b/>
              </w:rPr>
              <w:t>Unloading Truck</w:t>
            </w:r>
          </w:p>
          <w:p w:rsidR="0004495D" w:rsidRPr="000C31B2" w:rsidRDefault="0004495D" w:rsidP="000C31B2">
            <w:pPr>
              <w:pStyle w:val="tBullet1000"/>
            </w:pPr>
            <w:r w:rsidRPr="000C31B2">
              <w:t xml:space="preserve">Large items </w:t>
            </w:r>
            <w:r w:rsidR="003F6BAB" w:rsidRPr="000C31B2">
              <w:t xml:space="preserve">unloaded </w:t>
            </w:r>
            <w:r w:rsidRPr="000C31B2">
              <w:t>using forklif</w:t>
            </w:r>
            <w:r w:rsidR="00B942F7" w:rsidRPr="000C31B2">
              <w:t>t otherwise lifting and reaching within normal body ranges</w:t>
            </w:r>
          </w:p>
          <w:p w:rsidR="00B942F7" w:rsidRPr="000C31B2" w:rsidRDefault="00B942F7" w:rsidP="000C31B2">
            <w:pPr>
              <w:pStyle w:val="tBullet1000"/>
            </w:pPr>
            <w:r w:rsidRPr="000C31B2">
              <w:t>Frequent maneuvering and lifting of all fruit and vegetable stock</w:t>
            </w:r>
          </w:p>
          <w:p w:rsidR="006169AE" w:rsidRPr="0004495D" w:rsidRDefault="006169AE" w:rsidP="000C31B2">
            <w:pPr>
              <w:pStyle w:val="tBullet1000"/>
            </w:pPr>
            <w:r w:rsidRPr="000C31B2">
              <w:t>Packing stock into cool</w:t>
            </w:r>
            <w:r w:rsidR="000C31B2" w:rsidRPr="000C31B2">
              <w:t xml:space="preserve"> </w:t>
            </w:r>
            <w:r w:rsidRPr="000C31B2">
              <w:t>room</w:t>
            </w:r>
          </w:p>
        </w:tc>
        <w:tc>
          <w:tcPr>
            <w:tcW w:w="1483" w:type="pct"/>
          </w:tcPr>
          <w:p w:rsidR="00470FB6" w:rsidRDefault="00470FB6" w:rsidP="003A5C49">
            <w:pPr>
              <w:pStyle w:val="tHeading"/>
            </w:pPr>
            <w:r>
              <w:t>Doctor Approval</w:t>
            </w:r>
          </w:p>
          <w:p w:rsidR="00470FB6" w:rsidRPr="00470FB6" w:rsidRDefault="00762781" w:rsidP="003A5C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No</w:t>
            </w:r>
          </w:p>
          <w:p w:rsidR="00470FB6" w:rsidRPr="000B0521" w:rsidRDefault="00470FB6" w:rsidP="003A5C49">
            <w:pPr>
              <w:pStyle w:val="tHeading"/>
            </w:pPr>
            <w:r w:rsidRPr="00470FB6">
              <w:rPr>
                <w:b w:val="0"/>
              </w:rPr>
              <w:t>Comments:</w:t>
            </w:r>
          </w:p>
        </w:tc>
      </w:tr>
      <w:tr w:rsidR="0004495D" w:rsidTr="00B9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68"/>
        </w:trPr>
        <w:tc>
          <w:tcPr>
            <w:tcW w:w="2034" w:type="pct"/>
          </w:tcPr>
          <w:p w:rsidR="00470FB6" w:rsidRDefault="0004495D" w:rsidP="003A5C49">
            <w:pPr>
              <w:pStyle w:val="tNormal"/>
              <w:jc w:val="center"/>
            </w:pPr>
            <w:r>
              <w:rPr>
                <w:noProof/>
              </w:rPr>
              <w:lastRenderedPageBreak/>
              <w:drawing>
                <wp:inline distT="0" distB="0" distL="0" distR="0">
                  <wp:extent cx="1590675" cy="1552575"/>
                  <wp:effectExtent l="19050" t="0" r="9525" b="0"/>
                  <wp:docPr id="10" name="Picture 7" descr="C:\Users\serenaf\AppData\Local\Microsoft\Windows\Temporary Internet Files\Content.Word\IMG_07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enaf\AppData\Local\Microsoft\Windows\Temporary Internet Files\Content.Word\IMG_0759 (2).jpg"/>
                          <pic:cNvPicPr>
                            <a:picLocks noChangeAspect="1" noChangeArrowheads="1"/>
                          </pic:cNvPicPr>
                        </pic:nvPicPr>
                        <pic:blipFill>
                          <a:blip r:embed="rId13" cstate="print"/>
                          <a:srcRect/>
                          <a:stretch>
                            <a:fillRect/>
                          </a:stretch>
                        </pic:blipFill>
                        <pic:spPr bwMode="auto">
                          <a:xfrm>
                            <a:off x="0" y="0"/>
                            <a:ext cx="1588664" cy="1550612"/>
                          </a:xfrm>
                          <a:prstGeom prst="rect">
                            <a:avLst/>
                          </a:prstGeom>
                          <a:noFill/>
                          <a:ln w="9525">
                            <a:noFill/>
                            <a:miter lim="800000"/>
                            <a:headEnd/>
                            <a:tailEnd/>
                          </a:ln>
                        </pic:spPr>
                      </pic:pic>
                    </a:graphicData>
                  </a:graphic>
                </wp:inline>
              </w:drawing>
            </w:r>
          </w:p>
          <w:p w:rsidR="00B942F7" w:rsidRDefault="00865544" w:rsidP="003A5C49">
            <w:pPr>
              <w:pStyle w:val="tNormal"/>
              <w:jc w:val="center"/>
            </w:pPr>
            <w:r>
              <w:rPr>
                <w:rFonts w:ascii="Times New Roman" w:hAnsi="Times New Roman"/>
                <w:sz w:val="24"/>
              </w:rPr>
              <w:pict>
                <v:oval id="_x0000_s1027" style="position:absolute;left:0;text-align:left;margin-left:88.3pt;margin-top:23.15pt;width:22.4pt;height:21.2pt;z-index:251660288">
                  <v:fill color2="fill darken(118)" rotate="t" method="linear sigma" focus="-50%" type="gradient"/>
                </v:oval>
              </w:pict>
            </w:r>
            <w:r w:rsidR="00B942F7">
              <w:rPr>
                <w:noProof/>
              </w:rPr>
              <w:drawing>
                <wp:inline distT="0" distB="0" distL="0" distR="0">
                  <wp:extent cx="1571625" cy="1657350"/>
                  <wp:effectExtent l="19050" t="0" r="9525" b="0"/>
                  <wp:docPr id="12" name="Picture 11" descr="L:\RTW Fund Project\Stage Two SAWIC Codes 485301 &amp; 488301\Fruit and Vegetable Retailing\Farmer Joe's Barn\IMG_07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wo SAWIC Codes 485301 &amp; 488301\Fruit and Vegetable Retailing\Farmer Joe's Barn\IMG_0747 (2).JPG"/>
                          <pic:cNvPicPr>
                            <a:picLocks noChangeAspect="1" noChangeArrowheads="1"/>
                          </pic:cNvPicPr>
                        </pic:nvPicPr>
                        <pic:blipFill>
                          <a:blip r:embed="rId14" cstate="print"/>
                          <a:srcRect/>
                          <a:stretch>
                            <a:fillRect/>
                          </a:stretch>
                        </pic:blipFill>
                        <pic:spPr bwMode="auto">
                          <a:xfrm>
                            <a:off x="0" y="0"/>
                            <a:ext cx="1569637" cy="1655254"/>
                          </a:xfrm>
                          <a:prstGeom prst="rect">
                            <a:avLst/>
                          </a:prstGeom>
                          <a:noFill/>
                          <a:ln w="9525">
                            <a:noFill/>
                            <a:miter lim="800000"/>
                            <a:headEnd/>
                            <a:tailEnd/>
                          </a:ln>
                        </pic:spPr>
                      </pic:pic>
                    </a:graphicData>
                  </a:graphic>
                </wp:inline>
              </w:drawing>
            </w:r>
          </w:p>
          <w:p w:rsidR="00B942F7" w:rsidRDefault="00865544" w:rsidP="003A5C49">
            <w:pPr>
              <w:pStyle w:val="tNormal"/>
              <w:jc w:val="center"/>
            </w:pPr>
            <w:r>
              <w:rPr>
                <w:rFonts w:ascii="Times New Roman" w:hAnsi="Times New Roman"/>
                <w:sz w:val="24"/>
              </w:rPr>
              <w:pict>
                <v:oval id="_x0000_s1028" style="position:absolute;left:0;text-align:left;margin-left:104.05pt;margin-top:21.9pt;width:22.4pt;height:21.2pt;z-index:251662336">
                  <v:fill color2="fill darken(118)" rotate="t" method="linear sigma" focus="-50%" type="gradient"/>
                </v:oval>
              </w:pict>
            </w:r>
            <w:r w:rsidR="00B942F7">
              <w:rPr>
                <w:noProof/>
              </w:rPr>
              <w:drawing>
                <wp:inline distT="0" distB="0" distL="0" distR="0">
                  <wp:extent cx="1600200" cy="1790700"/>
                  <wp:effectExtent l="19050" t="0" r="0" b="0"/>
                  <wp:docPr id="13" name="Picture 12" descr="L:\RTW Fund Project\Stage Two SAWIC Codes 485301 &amp; 488301\Fruit and Vegetable Retailing\Farmer Joe's Barn\IMG_0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wo SAWIC Codes 485301 &amp; 488301\Fruit and Vegetable Retailing\Farmer Joe's Barn\IMG_0758.JPG"/>
                          <pic:cNvPicPr>
                            <a:picLocks noChangeAspect="1" noChangeArrowheads="1"/>
                          </pic:cNvPicPr>
                        </pic:nvPicPr>
                        <pic:blipFill>
                          <a:blip r:embed="rId15" cstate="print"/>
                          <a:srcRect/>
                          <a:stretch>
                            <a:fillRect/>
                          </a:stretch>
                        </pic:blipFill>
                        <pic:spPr bwMode="auto">
                          <a:xfrm>
                            <a:off x="0" y="0"/>
                            <a:ext cx="1598176" cy="1788435"/>
                          </a:xfrm>
                          <a:prstGeom prst="rect">
                            <a:avLst/>
                          </a:prstGeom>
                          <a:noFill/>
                          <a:ln w="9525">
                            <a:noFill/>
                            <a:miter lim="800000"/>
                            <a:headEnd/>
                            <a:tailEnd/>
                          </a:ln>
                        </pic:spPr>
                      </pic:pic>
                    </a:graphicData>
                  </a:graphic>
                </wp:inline>
              </w:drawing>
            </w:r>
          </w:p>
        </w:tc>
        <w:tc>
          <w:tcPr>
            <w:tcW w:w="1483" w:type="pct"/>
          </w:tcPr>
          <w:p w:rsidR="0004495D" w:rsidRDefault="0004495D" w:rsidP="0004495D">
            <w:pPr>
              <w:pStyle w:val="tBullet1000"/>
              <w:numPr>
                <w:ilvl w:val="0"/>
                <w:numId w:val="0"/>
              </w:numPr>
              <w:ind w:left="284" w:hanging="284"/>
              <w:rPr>
                <w:b/>
              </w:rPr>
            </w:pPr>
            <w:r>
              <w:rPr>
                <w:b/>
              </w:rPr>
              <w:t>Stock Replenishment</w:t>
            </w:r>
          </w:p>
          <w:p w:rsidR="00470FB6" w:rsidRPr="000C31B2" w:rsidRDefault="0004495D" w:rsidP="000C31B2">
            <w:pPr>
              <w:pStyle w:val="tBullet1000"/>
            </w:pPr>
            <w:r w:rsidRPr="000C31B2">
              <w:t>Cutting up watermelons and pumpkins for display</w:t>
            </w:r>
          </w:p>
          <w:p w:rsidR="0004495D" w:rsidRPr="000C31B2" w:rsidRDefault="0004495D" w:rsidP="000C31B2">
            <w:pPr>
              <w:pStyle w:val="tBullet1000"/>
            </w:pPr>
            <w:r w:rsidRPr="000C31B2">
              <w:t>Unpacking stock for purchase requiring bendin</w:t>
            </w:r>
            <w:bookmarkStart w:id="2" w:name="_GoBack"/>
            <w:bookmarkEnd w:id="2"/>
            <w:r w:rsidRPr="000C31B2">
              <w:t>g, twisting, squatting and lifting small loads of 5kgs</w:t>
            </w:r>
          </w:p>
          <w:p w:rsidR="003F6BAB" w:rsidRPr="000C31B2" w:rsidRDefault="0004495D" w:rsidP="000C31B2">
            <w:pPr>
              <w:pStyle w:val="tBullet1000"/>
            </w:pPr>
            <w:r w:rsidRPr="000C31B2">
              <w:t>Stocking of shelves requiring</w:t>
            </w:r>
            <w:r w:rsidR="000B6F94" w:rsidRPr="000C31B2">
              <w:t xml:space="preserve"> some </w:t>
            </w:r>
            <w:r w:rsidRPr="000C31B2">
              <w:t>reach</w:t>
            </w:r>
            <w:r w:rsidR="003F6BAB" w:rsidRPr="000C31B2">
              <w:t>ing overhead</w:t>
            </w:r>
            <w:r w:rsidRPr="000C31B2">
              <w:t xml:space="preserve">. </w:t>
            </w:r>
          </w:p>
          <w:p w:rsidR="0004495D" w:rsidRDefault="00B942F7" w:rsidP="000C31B2">
            <w:pPr>
              <w:pStyle w:val="tBullet1000"/>
            </w:pPr>
            <w:r w:rsidRPr="000C31B2">
              <w:t xml:space="preserve">Requires stretching, leaning, twisting. </w:t>
            </w:r>
            <w:r w:rsidR="0004495D" w:rsidRPr="000C31B2">
              <w:t>Step stool available if required</w:t>
            </w:r>
          </w:p>
        </w:tc>
        <w:tc>
          <w:tcPr>
            <w:tcW w:w="1483" w:type="pct"/>
          </w:tcPr>
          <w:p w:rsidR="00470FB6" w:rsidRDefault="00470FB6" w:rsidP="003A5C49">
            <w:pPr>
              <w:pStyle w:val="tHeading"/>
            </w:pPr>
            <w:r>
              <w:t>Doctor Approval</w:t>
            </w:r>
          </w:p>
          <w:p w:rsidR="00470FB6" w:rsidRPr="00470FB6" w:rsidRDefault="00762781" w:rsidP="003A5C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No</w:t>
            </w:r>
          </w:p>
          <w:p w:rsidR="00470FB6" w:rsidRPr="000B0521" w:rsidRDefault="00470FB6" w:rsidP="003A5C49">
            <w:pPr>
              <w:pStyle w:val="tHeading"/>
            </w:pPr>
            <w:r w:rsidRPr="00470FB6">
              <w:rPr>
                <w:b w:val="0"/>
              </w:rPr>
              <w:t>Comments:</w:t>
            </w:r>
            <w:r w:rsidR="0050342A">
              <w:rPr>
                <w:rFonts w:ascii="Times New Roman" w:hAnsi="Times New Roman"/>
                <w:sz w:val="24"/>
              </w:rPr>
              <w:t xml:space="preserve"> </w:t>
            </w:r>
          </w:p>
        </w:tc>
      </w:tr>
      <w:tr w:rsidR="0004495D" w:rsidTr="0061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9"/>
        </w:trPr>
        <w:tc>
          <w:tcPr>
            <w:tcW w:w="2034" w:type="pct"/>
          </w:tcPr>
          <w:p w:rsidR="00470FB6" w:rsidRDefault="006169AE" w:rsidP="003A5C49">
            <w:pPr>
              <w:pStyle w:val="tNormal"/>
              <w:jc w:val="center"/>
            </w:pPr>
            <w:r>
              <w:rPr>
                <w:noProof/>
              </w:rPr>
              <w:drawing>
                <wp:inline distT="0" distB="0" distL="0" distR="0">
                  <wp:extent cx="1534795" cy="1571625"/>
                  <wp:effectExtent l="19050" t="0" r="8255" b="0"/>
                  <wp:docPr id="14" name="Picture 13" descr="C:\Users\serenaf\AppData\Local\Microsoft\Windows\Temporary Internet Files\Content.Word\IMG_0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enaf\AppData\Local\Microsoft\Windows\Temporary Internet Files\Content.Word\IMG_0773.jpg"/>
                          <pic:cNvPicPr>
                            <a:picLocks noChangeAspect="1" noChangeArrowheads="1"/>
                          </pic:cNvPicPr>
                        </pic:nvPicPr>
                        <pic:blipFill>
                          <a:blip r:embed="rId16" cstate="print"/>
                          <a:srcRect/>
                          <a:stretch>
                            <a:fillRect/>
                          </a:stretch>
                        </pic:blipFill>
                        <pic:spPr bwMode="auto">
                          <a:xfrm>
                            <a:off x="0" y="0"/>
                            <a:ext cx="1534567" cy="1571392"/>
                          </a:xfrm>
                          <a:prstGeom prst="rect">
                            <a:avLst/>
                          </a:prstGeom>
                          <a:noFill/>
                          <a:ln w="9525">
                            <a:noFill/>
                            <a:miter lim="800000"/>
                            <a:headEnd/>
                            <a:tailEnd/>
                          </a:ln>
                        </pic:spPr>
                      </pic:pic>
                    </a:graphicData>
                  </a:graphic>
                </wp:inline>
              </w:drawing>
            </w:r>
          </w:p>
        </w:tc>
        <w:tc>
          <w:tcPr>
            <w:tcW w:w="1483" w:type="pct"/>
          </w:tcPr>
          <w:p w:rsidR="00470FB6" w:rsidRDefault="006169AE" w:rsidP="003A5C49">
            <w:pPr>
              <w:pStyle w:val="tBullet1000"/>
              <w:numPr>
                <w:ilvl w:val="0"/>
                <w:numId w:val="0"/>
              </w:numPr>
              <w:ind w:left="284" w:hanging="284"/>
              <w:rPr>
                <w:b/>
              </w:rPr>
            </w:pPr>
            <w:r>
              <w:rPr>
                <w:b/>
              </w:rPr>
              <w:t>Customer Orders</w:t>
            </w:r>
          </w:p>
          <w:p w:rsidR="006169AE" w:rsidRPr="000C31B2" w:rsidRDefault="006169AE" w:rsidP="000C31B2">
            <w:pPr>
              <w:pStyle w:val="tBullet1000"/>
            </w:pPr>
            <w:r w:rsidRPr="000C31B2">
              <w:t xml:space="preserve">Packing and delivering commercial customer orders using </w:t>
            </w:r>
            <w:r w:rsidR="003F6BAB" w:rsidRPr="000C31B2">
              <w:t xml:space="preserve">a ute. </w:t>
            </w:r>
          </w:p>
          <w:p w:rsidR="000B6F94" w:rsidRPr="000C31B2" w:rsidRDefault="000B6F94" w:rsidP="000C31B2">
            <w:pPr>
              <w:pStyle w:val="tBullet1000"/>
            </w:pPr>
            <w:r w:rsidRPr="000C31B2">
              <w:t>Climbing in/out of ute</w:t>
            </w:r>
          </w:p>
          <w:p w:rsidR="000B6F94" w:rsidRPr="000C31B2" w:rsidRDefault="000B6F94" w:rsidP="000C31B2">
            <w:pPr>
              <w:pStyle w:val="tBullet1000"/>
            </w:pPr>
            <w:r w:rsidRPr="000C31B2">
              <w:t>Sitting to drive</w:t>
            </w:r>
          </w:p>
          <w:p w:rsidR="000B6F94" w:rsidRPr="006169AE" w:rsidRDefault="000B6F94" w:rsidP="000C31B2">
            <w:pPr>
              <w:pStyle w:val="tBullet1000"/>
              <w:rPr>
                <w:b/>
              </w:rPr>
            </w:pPr>
            <w:r w:rsidRPr="000C31B2">
              <w:t>Lifting of product to unload at delivery site</w:t>
            </w:r>
          </w:p>
        </w:tc>
        <w:tc>
          <w:tcPr>
            <w:tcW w:w="1483" w:type="pct"/>
          </w:tcPr>
          <w:p w:rsidR="00470FB6" w:rsidRDefault="00470FB6" w:rsidP="003A5C49">
            <w:pPr>
              <w:pStyle w:val="tHeading"/>
            </w:pPr>
            <w:r>
              <w:t>Doctor Approval</w:t>
            </w:r>
          </w:p>
          <w:p w:rsidR="00470FB6" w:rsidRPr="00470FB6" w:rsidRDefault="00762781" w:rsidP="003A5C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No</w:t>
            </w:r>
          </w:p>
          <w:p w:rsidR="00470FB6" w:rsidRPr="000B0521" w:rsidRDefault="00470FB6" w:rsidP="003A5C49">
            <w:pPr>
              <w:pStyle w:val="tHeading"/>
            </w:pPr>
            <w:r w:rsidRPr="00470FB6">
              <w:rPr>
                <w:b w:val="0"/>
              </w:rPr>
              <w:t>Comments:</w:t>
            </w:r>
          </w:p>
        </w:tc>
      </w:tr>
      <w:tr w:rsidR="0004495D" w:rsidTr="0061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5"/>
        </w:trPr>
        <w:tc>
          <w:tcPr>
            <w:tcW w:w="2034" w:type="pct"/>
          </w:tcPr>
          <w:p w:rsidR="00470FB6" w:rsidRDefault="006169AE" w:rsidP="003A5C49">
            <w:pPr>
              <w:pStyle w:val="tNormal"/>
              <w:jc w:val="center"/>
            </w:pPr>
            <w:r>
              <w:rPr>
                <w:noProof/>
              </w:rPr>
              <w:drawing>
                <wp:inline distT="0" distB="0" distL="0" distR="0">
                  <wp:extent cx="1506220" cy="1533525"/>
                  <wp:effectExtent l="19050" t="0" r="0" b="0"/>
                  <wp:docPr id="16" name="Picture 16" descr="L:\RTW Fund Project\Stage Two SAWIC Codes 485301 &amp; 488301\Fruit and Vegetable Retailing\Farmer Joe's Barn\IMG_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Two SAWIC Codes 485301 &amp; 488301\Fruit and Vegetable Retailing\Farmer Joe's Barn\IMG_0526.JPG"/>
                          <pic:cNvPicPr>
                            <a:picLocks noChangeAspect="1" noChangeArrowheads="1"/>
                          </pic:cNvPicPr>
                        </pic:nvPicPr>
                        <pic:blipFill>
                          <a:blip r:embed="rId17" cstate="print"/>
                          <a:srcRect/>
                          <a:stretch>
                            <a:fillRect/>
                          </a:stretch>
                        </pic:blipFill>
                        <pic:spPr bwMode="auto">
                          <a:xfrm>
                            <a:off x="0" y="0"/>
                            <a:ext cx="1504315" cy="1531585"/>
                          </a:xfrm>
                          <a:prstGeom prst="rect">
                            <a:avLst/>
                          </a:prstGeom>
                          <a:noFill/>
                          <a:ln w="9525">
                            <a:noFill/>
                            <a:miter lim="800000"/>
                            <a:headEnd/>
                            <a:tailEnd/>
                          </a:ln>
                        </pic:spPr>
                      </pic:pic>
                    </a:graphicData>
                  </a:graphic>
                </wp:inline>
              </w:drawing>
            </w:r>
          </w:p>
        </w:tc>
        <w:tc>
          <w:tcPr>
            <w:tcW w:w="1483" w:type="pct"/>
          </w:tcPr>
          <w:p w:rsidR="006169AE" w:rsidRDefault="006169AE" w:rsidP="003A5C49">
            <w:pPr>
              <w:pStyle w:val="tBullet1000"/>
              <w:numPr>
                <w:ilvl w:val="0"/>
                <w:numId w:val="0"/>
              </w:numPr>
              <w:ind w:left="284" w:hanging="284"/>
              <w:rPr>
                <w:b/>
              </w:rPr>
            </w:pPr>
            <w:r>
              <w:rPr>
                <w:b/>
              </w:rPr>
              <w:t>Cleaning</w:t>
            </w:r>
            <w:r w:rsidR="003F6BAB">
              <w:rPr>
                <w:b/>
              </w:rPr>
              <w:t xml:space="preserve"> and Ticketing</w:t>
            </w:r>
          </w:p>
          <w:p w:rsidR="006169AE" w:rsidRPr="000C31B2" w:rsidRDefault="006169AE" w:rsidP="000C31B2">
            <w:pPr>
              <w:pStyle w:val="tBullet1000"/>
            </w:pPr>
            <w:r w:rsidRPr="000C31B2">
              <w:t>Keep</w:t>
            </w:r>
            <w:r w:rsidR="003F6BAB" w:rsidRPr="000C31B2">
              <w:t>ing</w:t>
            </w:r>
            <w:r w:rsidRPr="000C31B2">
              <w:t xml:space="preserve"> shop floor clear of fruit to prevent falls</w:t>
            </w:r>
          </w:p>
          <w:p w:rsidR="006169AE" w:rsidRPr="006169AE" w:rsidRDefault="003F6BAB" w:rsidP="000C31B2">
            <w:pPr>
              <w:pStyle w:val="tBullet1000"/>
              <w:rPr>
                <w:b/>
              </w:rPr>
            </w:pPr>
            <w:r w:rsidRPr="000C31B2">
              <w:t>Attaching</w:t>
            </w:r>
            <w:r w:rsidR="006169AE" w:rsidRPr="000C31B2">
              <w:t xml:space="preserve"> appropr</w:t>
            </w:r>
            <w:r w:rsidRPr="000C31B2">
              <w:t>iate tickets to produce and noting</w:t>
            </w:r>
            <w:r w:rsidR="006169AE" w:rsidRPr="000C31B2">
              <w:t xml:space="preserve"> price changes</w:t>
            </w:r>
          </w:p>
        </w:tc>
        <w:tc>
          <w:tcPr>
            <w:tcW w:w="1483" w:type="pct"/>
          </w:tcPr>
          <w:p w:rsidR="00470FB6" w:rsidRDefault="00470FB6" w:rsidP="003A5C49">
            <w:pPr>
              <w:pStyle w:val="tHeading"/>
            </w:pPr>
            <w:r>
              <w:t>Doctor Approval</w:t>
            </w:r>
          </w:p>
          <w:p w:rsidR="00470FB6" w:rsidRPr="00470FB6" w:rsidRDefault="00762781" w:rsidP="003A5C4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65544">
              <w:rPr>
                <w:b w:val="0"/>
              </w:rPr>
            </w:r>
            <w:r w:rsidR="00865544">
              <w:rPr>
                <w:b w:val="0"/>
              </w:rPr>
              <w:fldChar w:fldCharType="separate"/>
            </w:r>
            <w:r w:rsidRPr="00470FB6">
              <w:rPr>
                <w:b w:val="0"/>
              </w:rPr>
              <w:fldChar w:fldCharType="end"/>
            </w:r>
            <w:r w:rsidR="00470FB6" w:rsidRPr="00470FB6">
              <w:rPr>
                <w:b w:val="0"/>
              </w:rPr>
              <w:t xml:space="preserve"> No</w:t>
            </w:r>
          </w:p>
          <w:p w:rsidR="00470FB6" w:rsidRPr="000B0521" w:rsidRDefault="00470FB6" w:rsidP="003A5C4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3E44A7">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865544" w:rsidRDefault="00865544" w:rsidP="00865544">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865544"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97" w:rsidRDefault="00E55897" w:rsidP="008F4CA6">
      <w:pPr>
        <w:spacing w:before="0" w:after="0"/>
      </w:pPr>
      <w:r>
        <w:separator/>
      </w:r>
    </w:p>
  </w:endnote>
  <w:endnote w:type="continuationSeparator" w:id="0">
    <w:p w:rsidR="00E55897" w:rsidRDefault="00E55897"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55897" w:rsidTr="004560CA">
      <w:tc>
        <w:tcPr>
          <w:tcW w:w="3285" w:type="dxa"/>
        </w:tcPr>
        <w:p w:rsidR="00E55897" w:rsidRDefault="00E55897">
          <w:pPr>
            <w:pStyle w:val="Footer"/>
            <w:pBdr>
              <w:top w:val="none" w:sz="0" w:space="0" w:color="auto"/>
            </w:pBdr>
          </w:pPr>
        </w:p>
      </w:tc>
      <w:tc>
        <w:tcPr>
          <w:tcW w:w="3285" w:type="dxa"/>
        </w:tcPr>
        <w:p w:rsidR="00E55897" w:rsidRDefault="00E55897">
          <w:pPr>
            <w:pStyle w:val="Footer"/>
            <w:pBdr>
              <w:top w:val="none" w:sz="0" w:space="0" w:color="auto"/>
            </w:pBdr>
          </w:pPr>
        </w:p>
      </w:tc>
      <w:tc>
        <w:tcPr>
          <w:tcW w:w="3285" w:type="dxa"/>
        </w:tcPr>
        <w:p w:rsidR="00E55897" w:rsidRDefault="00E55897" w:rsidP="008A4CB0">
          <w:pPr>
            <w:pStyle w:val="Footer"/>
            <w:pBdr>
              <w:top w:val="none" w:sz="0" w:space="0" w:color="auto"/>
            </w:pBdr>
            <w:jc w:val="right"/>
          </w:pPr>
        </w:p>
      </w:tc>
    </w:tr>
  </w:tbl>
  <w:p w:rsidR="00E55897" w:rsidRDefault="00E55897"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55897" w:rsidRDefault="00865544"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97" w:rsidRDefault="00E55897" w:rsidP="008F4CA6">
      <w:pPr>
        <w:spacing w:before="0" w:after="0"/>
      </w:pPr>
      <w:r>
        <w:separator/>
      </w:r>
    </w:p>
  </w:footnote>
  <w:footnote w:type="continuationSeparator" w:id="0">
    <w:p w:rsidR="00E55897" w:rsidRDefault="00E55897"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97" w:rsidRDefault="00E55897"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376CA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D645E"/>
    <w:multiLevelType w:val="hybridMultilevel"/>
    <w:tmpl w:val="438CE394"/>
    <w:lvl w:ilvl="0" w:tplc="629C8D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73833"/>
    <w:multiLevelType w:val="hybridMultilevel"/>
    <w:tmpl w:val="5E2AF5B6"/>
    <w:lvl w:ilvl="0" w:tplc="629C8D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15:restartNumberingAfterBreak="0">
    <w:nsid w:val="31DD1A00"/>
    <w:multiLevelType w:val="hybridMultilevel"/>
    <w:tmpl w:val="707A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40437B44"/>
    <w:multiLevelType w:val="hybridMultilevel"/>
    <w:tmpl w:val="481E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1C24A3"/>
    <w:multiLevelType w:val="hybridMultilevel"/>
    <w:tmpl w:val="525A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20"/>
  </w:num>
  <w:num w:numId="4">
    <w:abstractNumId w:val="11"/>
  </w:num>
  <w:num w:numId="5">
    <w:abstractNumId w:val="14"/>
  </w:num>
  <w:num w:numId="6">
    <w:abstractNumId w:val="2"/>
  </w:num>
  <w:num w:numId="7">
    <w:abstractNumId w:val="21"/>
  </w:num>
  <w:num w:numId="8">
    <w:abstractNumId w:val="45"/>
  </w:num>
  <w:num w:numId="9">
    <w:abstractNumId w:val="41"/>
  </w:num>
  <w:num w:numId="10">
    <w:abstractNumId w:val="18"/>
  </w:num>
  <w:num w:numId="11">
    <w:abstractNumId w:val="25"/>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4"/>
  </w:num>
  <w:num w:numId="16">
    <w:abstractNumId w:val="4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2"/>
  </w:num>
  <w:num w:numId="21">
    <w:abstractNumId w:val="9"/>
  </w:num>
  <w:num w:numId="22">
    <w:abstractNumId w:val="6"/>
  </w:num>
  <w:num w:numId="23">
    <w:abstractNumId w:val="12"/>
  </w:num>
  <w:num w:numId="24">
    <w:abstractNumId w:val="39"/>
  </w:num>
  <w:num w:numId="25">
    <w:abstractNumId w:val="38"/>
  </w:num>
  <w:num w:numId="26">
    <w:abstractNumId w:val="27"/>
  </w:num>
  <w:num w:numId="27">
    <w:abstractNumId w:val="15"/>
  </w:num>
  <w:num w:numId="28">
    <w:abstractNumId w:val="7"/>
  </w:num>
  <w:num w:numId="29">
    <w:abstractNumId w:val="30"/>
  </w:num>
  <w:num w:numId="30">
    <w:abstractNumId w:val="19"/>
  </w:num>
  <w:num w:numId="31">
    <w:abstractNumId w:val="32"/>
  </w:num>
  <w:num w:numId="32">
    <w:abstractNumId w:val="28"/>
  </w:num>
  <w:num w:numId="33">
    <w:abstractNumId w:val="23"/>
  </w:num>
  <w:num w:numId="34">
    <w:abstractNumId w:val="26"/>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1"/>
  </w:num>
  <w:num w:numId="44">
    <w:abstractNumId w:val="8"/>
  </w:num>
  <w:num w:numId="45">
    <w:abstractNumId w:val="17"/>
  </w:num>
  <w:num w:numId="46">
    <w:abstractNumId w:val="0"/>
  </w:num>
  <w:num w:numId="47">
    <w:abstractNumId w:val="22"/>
  </w:num>
  <w:num w:numId="48">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495D"/>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B61AE"/>
    <w:rsid w:val="000B6F94"/>
    <w:rsid w:val="000C03FD"/>
    <w:rsid w:val="000C20B6"/>
    <w:rsid w:val="000C2C7D"/>
    <w:rsid w:val="000C31B2"/>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9648F"/>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2379"/>
    <w:rsid w:val="003624D7"/>
    <w:rsid w:val="00364BE7"/>
    <w:rsid w:val="00381F88"/>
    <w:rsid w:val="00387802"/>
    <w:rsid w:val="003913A2"/>
    <w:rsid w:val="00393D08"/>
    <w:rsid w:val="003A5553"/>
    <w:rsid w:val="003A5C49"/>
    <w:rsid w:val="003A5E98"/>
    <w:rsid w:val="003A7C71"/>
    <w:rsid w:val="003B698D"/>
    <w:rsid w:val="003C1331"/>
    <w:rsid w:val="003C5170"/>
    <w:rsid w:val="003D4E01"/>
    <w:rsid w:val="003E05EE"/>
    <w:rsid w:val="003E0F44"/>
    <w:rsid w:val="003E119E"/>
    <w:rsid w:val="003E3726"/>
    <w:rsid w:val="003E44A7"/>
    <w:rsid w:val="003E7E47"/>
    <w:rsid w:val="003E7EB4"/>
    <w:rsid w:val="003F12FB"/>
    <w:rsid w:val="003F6BA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C3EB2"/>
    <w:rsid w:val="004D3C9D"/>
    <w:rsid w:val="004E443F"/>
    <w:rsid w:val="004F1F26"/>
    <w:rsid w:val="004F6022"/>
    <w:rsid w:val="004F6217"/>
    <w:rsid w:val="0050342A"/>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47B0"/>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69AE"/>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7CFF"/>
    <w:rsid w:val="00740069"/>
    <w:rsid w:val="00750B0C"/>
    <w:rsid w:val="007611B3"/>
    <w:rsid w:val="00761FE4"/>
    <w:rsid w:val="00762781"/>
    <w:rsid w:val="0076521B"/>
    <w:rsid w:val="00766A89"/>
    <w:rsid w:val="007671D2"/>
    <w:rsid w:val="00767CA3"/>
    <w:rsid w:val="00774267"/>
    <w:rsid w:val="00776C61"/>
    <w:rsid w:val="00777F38"/>
    <w:rsid w:val="0078151A"/>
    <w:rsid w:val="0078347D"/>
    <w:rsid w:val="00787027"/>
    <w:rsid w:val="007876DF"/>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5544"/>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7EF2"/>
    <w:rsid w:val="008E5CE9"/>
    <w:rsid w:val="008F4CA6"/>
    <w:rsid w:val="008F694D"/>
    <w:rsid w:val="008F720B"/>
    <w:rsid w:val="00903AC0"/>
    <w:rsid w:val="00907C86"/>
    <w:rsid w:val="00913A3E"/>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50A0"/>
    <w:rsid w:val="00A870A7"/>
    <w:rsid w:val="00A96093"/>
    <w:rsid w:val="00AA0299"/>
    <w:rsid w:val="00AB0E05"/>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5B81"/>
    <w:rsid w:val="00B576CC"/>
    <w:rsid w:val="00B63D61"/>
    <w:rsid w:val="00B653B4"/>
    <w:rsid w:val="00B65FA8"/>
    <w:rsid w:val="00B669B8"/>
    <w:rsid w:val="00B718C4"/>
    <w:rsid w:val="00B75873"/>
    <w:rsid w:val="00B850F3"/>
    <w:rsid w:val="00B942F7"/>
    <w:rsid w:val="00B96161"/>
    <w:rsid w:val="00B962AE"/>
    <w:rsid w:val="00BA1F89"/>
    <w:rsid w:val="00BB5AAF"/>
    <w:rsid w:val="00BC48C3"/>
    <w:rsid w:val="00BD200E"/>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5897"/>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566D43C-C04B-43B5-8969-3F783FEE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 w:type="paragraph" w:styleId="ListBullet">
    <w:name w:val="List Bullet"/>
    <w:basedOn w:val="Normal"/>
    <w:uiPriority w:val="99"/>
    <w:unhideWhenUsed/>
    <w:rsid w:val="0076521B"/>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AC54E-E6B4-4780-B72F-D022C61B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Storeman</dc:title>
  <dc:subject>Job dictionary</dc:subject>
  <dc:creator>Business SA</dc:creator>
  <cp:keywords>Pallet jacks; stacking; crates; loading; trolleys; pallet jacks; packing; cutting; fruit; vegetable; climbing; sitting; lifting</cp:keywords>
  <dc:description>Early intervention; early medical assessment; work capacity; job analysis; job summary</dc:description>
  <cp:lastModifiedBy>Timoteo, Rudy</cp:lastModifiedBy>
  <cp:revision>7</cp:revision>
  <cp:lastPrinted>2015-03-10T05:15:00Z</cp:lastPrinted>
  <dcterms:created xsi:type="dcterms:W3CDTF">2015-06-24T03:51:00Z</dcterms:created>
  <dcterms:modified xsi:type="dcterms:W3CDTF">2016-04-13T07:22:00Z</dcterms:modified>
  <cp:category>Wholesale and retail</cp:category>
</cp:coreProperties>
</file>