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E25904">
      <w:pPr>
        <w:pStyle w:val="Title1"/>
        <w:jc w:val="center"/>
        <w:rPr>
          <w:sz w:val="22"/>
          <w:szCs w:val="22"/>
        </w:rPr>
      </w:pPr>
      <w:r>
        <w:rPr>
          <w:szCs w:val="120"/>
        </w:rPr>
        <w:t>Early Medical Assessmen</w:t>
      </w:r>
      <w:r w:rsidR="0093609F">
        <w:rPr>
          <w:szCs w:val="120"/>
        </w:rPr>
        <w:t>t</w:t>
      </w:r>
    </w:p>
    <w:p w:rsidR="00E25904" w:rsidRDefault="00E25904" w:rsidP="00E25904">
      <w:pPr>
        <w:pStyle w:val="Title1"/>
        <w:jc w:val="center"/>
        <w:rPr>
          <w:sz w:val="22"/>
          <w:szCs w:val="22"/>
        </w:rPr>
      </w:pPr>
    </w:p>
    <w:p w:rsidR="00E25904" w:rsidRDefault="00E25904" w:rsidP="00E25904">
      <w:pPr>
        <w:pStyle w:val="Title1"/>
        <w:jc w:val="center"/>
        <w:rPr>
          <w:sz w:val="22"/>
          <w:szCs w:val="22"/>
        </w:rPr>
      </w:pPr>
    </w:p>
    <w:p w:rsidR="00E25904" w:rsidRPr="00E25904" w:rsidRDefault="00E25904" w:rsidP="00E25904">
      <w:pPr>
        <w:pStyle w:val="Title1"/>
        <w:jc w:val="center"/>
        <w:rPr>
          <w:sz w:val="22"/>
          <w:szCs w:val="22"/>
        </w:rPr>
      </w:pPr>
      <w:r>
        <w:rPr>
          <w:noProof/>
          <w:sz w:val="22"/>
          <w:szCs w:val="22"/>
          <w:lang w:eastAsia="en-AU"/>
        </w:rPr>
        <w:drawing>
          <wp:inline distT="0" distB="0" distL="0" distR="0">
            <wp:extent cx="3712000" cy="2088000"/>
            <wp:effectExtent l="19050" t="0" r="2750" b="0"/>
            <wp:docPr id="2" name="Picture 1" descr="L:\RTW Fund Project\Stage Four SAWIC Codes 488601 &amp; 488501 - 33 templates\Fish and Takeaway Retailing\STAX\482630976_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STAX\482630976_d1.jpg"/>
                    <pic:cNvPicPr>
                      <a:picLocks noChangeAspect="1" noChangeArrowheads="1"/>
                    </pic:cNvPicPr>
                  </pic:nvPicPr>
                  <pic:blipFill>
                    <a:blip r:embed="rId8" cstate="print"/>
                    <a:srcRect/>
                    <a:stretch>
                      <a:fillRect/>
                    </a:stretch>
                  </pic:blipFill>
                  <pic:spPr bwMode="auto">
                    <a:xfrm>
                      <a:off x="0" y="0"/>
                      <a:ext cx="3712000" cy="2088000"/>
                    </a:xfrm>
                    <a:prstGeom prst="rect">
                      <a:avLst/>
                    </a:prstGeom>
                    <a:noFill/>
                    <a:ln w="9525">
                      <a:noFill/>
                      <a:miter lim="800000"/>
                      <a:headEnd/>
                      <a:tailEnd/>
                    </a:ln>
                  </pic:spPr>
                </pic:pic>
              </a:graphicData>
            </a:graphic>
          </wp:inline>
        </w:drawing>
      </w:r>
    </w:p>
    <w:p w:rsidR="009F1B29" w:rsidRDefault="009F1B29" w:rsidP="0093609F">
      <w:pPr>
        <w:pStyle w:val="Title1"/>
        <w:rPr>
          <w:sz w:val="22"/>
          <w:szCs w:val="22"/>
        </w:rPr>
      </w:pPr>
    </w:p>
    <w:p w:rsidR="00E25904" w:rsidRPr="00E25904" w:rsidRDefault="00E25904" w:rsidP="0093609F">
      <w:pPr>
        <w:pStyle w:val="Title1"/>
        <w:rPr>
          <w:sz w:val="22"/>
          <w:szCs w:val="22"/>
        </w:rPr>
      </w:pPr>
    </w:p>
    <w:p w:rsidR="009F1B29" w:rsidRDefault="006343DB" w:rsidP="0093609F">
      <w:pPr>
        <w:pStyle w:val="Title1"/>
        <w:rPr>
          <w:sz w:val="72"/>
          <w:szCs w:val="120"/>
        </w:rPr>
      </w:pPr>
      <w:r>
        <w:rPr>
          <w:sz w:val="72"/>
          <w:szCs w:val="120"/>
        </w:rPr>
        <w:t>Fish and Takeaway Retailing</w:t>
      </w:r>
    </w:p>
    <w:p w:rsidR="004508F5" w:rsidRPr="004508F5" w:rsidRDefault="00E70EAD" w:rsidP="0093609F">
      <w:pPr>
        <w:pStyle w:val="Title1"/>
        <w:rPr>
          <w:sz w:val="50"/>
          <w:szCs w:val="50"/>
        </w:rPr>
      </w:pPr>
      <w:r>
        <w:rPr>
          <w:sz w:val="50"/>
          <w:szCs w:val="50"/>
        </w:rPr>
        <w:t>Sandwich Maker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4508F5" w:rsidRDefault="006343DB" w:rsidP="0056372D">
      <w:pPr>
        <w:pStyle w:val="Title3"/>
        <w:spacing w:before="0"/>
        <w:ind w:left="357" w:hanging="357"/>
      </w:pPr>
      <w:r>
        <w:lastRenderedPageBreak/>
        <w:t>Fish and Takeaway Retailing</w:t>
      </w:r>
    </w:p>
    <w:p w:rsidR="006343DB" w:rsidRDefault="00E70EAD" w:rsidP="0056372D">
      <w:pPr>
        <w:pStyle w:val="Title3"/>
        <w:spacing w:before="0"/>
        <w:ind w:left="357" w:hanging="357"/>
      </w:pPr>
      <w:r>
        <w:t>Sandwich Maker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66"/>
        <w:gridCol w:w="3635"/>
        <w:gridCol w:w="2854"/>
      </w:tblGrid>
      <w:tr w:rsidR="00470FB6" w:rsidTr="00876C93">
        <w:trPr>
          <w:cantSplit/>
          <w:trHeight w:hRule="exact" w:val="8037"/>
        </w:trPr>
        <w:tc>
          <w:tcPr>
            <w:tcW w:w="1708" w:type="pct"/>
          </w:tcPr>
          <w:p w:rsidR="001316C4" w:rsidRDefault="001316C4" w:rsidP="002034BA">
            <w:pPr>
              <w:pStyle w:val="tNormal"/>
              <w:jc w:val="center"/>
            </w:pPr>
            <w:r>
              <w:rPr>
                <w:noProof/>
              </w:rPr>
              <w:drawing>
                <wp:inline distT="0" distB="0" distL="0" distR="0">
                  <wp:extent cx="1225800" cy="1634400"/>
                  <wp:effectExtent l="19050" t="0" r="0" b="0"/>
                  <wp:docPr id="6" name="Picture 4" descr="L:\RTW Fund Project\Stage Four SAWIC Codes 488601 &amp; 488501 - 33 templates\Fish and Takeaway Retailing\STAX\IMG_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Fish and Takeaway Retailing\STAX\IMG_3333.JPG"/>
                          <pic:cNvPicPr>
                            <a:picLocks noChangeAspect="1" noChangeArrowheads="1"/>
                          </pic:cNvPicPr>
                        </pic:nvPicPr>
                        <pic:blipFill>
                          <a:blip r:embed="rId10" cstate="print"/>
                          <a:srcRect/>
                          <a:stretch>
                            <a:fillRect/>
                          </a:stretch>
                        </pic:blipFill>
                        <pic:spPr bwMode="auto">
                          <a:xfrm>
                            <a:off x="0" y="0"/>
                            <a:ext cx="1225800" cy="1634400"/>
                          </a:xfrm>
                          <a:prstGeom prst="rect">
                            <a:avLst/>
                          </a:prstGeom>
                          <a:noFill/>
                          <a:ln w="9525">
                            <a:noFill/>
                            <a:miter lim="800000"/>
                            <a:headEnd/>
                            <a:tailEnd/>
                          </a:ln>
                        </pic:spPr>
                      </pic:pic>
                    </a:graphicData>
                  </a:graphic>
                </wp:inline>
              </w:drawing>
            </w:r>
          </w:p>
          <w:p w:rsidR="001316C4" w:rsidRDefault="002034BA" w:rsidP="0056372D">
            <w:pPr>
              <w:pStyle w:val="tNormal"/>
              <w:jc w:val="center"/>
            </w:pPr>
            <w:r>
              <w:rPr>
                <w:noProof/>
              </w:rPr>
              <w:drawing>
                <wp:inline distT="0" distB="0" distL="0" distR="0">
                  <wp:extent cx="789534" cy="1590675"/>
                  <wp:effectExtent l="19050" t="0" r="0" b="0"/>
                  <wp:docPr id="8" name="Picture 6" descr="L:\RTW Fund Project\Stage Four SAWIC Codes 488601 &amp; 488501 - 33 templates\Fish and Takeaway Retailing\STAX\IMG_1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 - 33 templates\Fish and Takeaway Retailing\STAX\IMG_1861.JPG"/>
                          <pic:cNvPicPr>
                            <a:picLocks noChangeAspect="1" noChangeArrowheads="1"/>
                          </pic:cNvPicPr>
                        </pic:nvPicPr>
                        <pic:blipFill>
                          <a:blip r:embed="rId11" cstate="print"/>
                          <a:srcRect/>
                          <a:stretch>
                            <a:fillRect/>
                          </a:stretch>
                        </pic:blipFill>
                        <pic:spPr bwMode="auto">
                          <a:xfrm>
                            <a:off x="0" y="0"/>
                            <a:ext cx="789900" cy="1591412"/>
                          </a:xfrm>
                          <a:prstGeom prst="rect">
                            <a:avLst/>
                          </a:prstGeom>
                          <a:noFill/>
                          <a:ln w="9525">
                            <a:noFill/>
                            <a:miter lim="800000"/>
                            <a:headEnd/>
                            <a:tailEnd/>
                          </a:ln>
                        </pic:spPr>
                      </pic:pic>
                    </a:graphicData>
                  </a:graphic>
                </wp:inline>
              </w:drawing>
            </w:r>
          </w:p>
          <w:p w:rsidR="00E3626B" w:rsidRDefault="008458BD" w:rsidP="0056372D">
            <w:pPr>
              <w:pStyle w:val="tNormal"/>
              <w:jc w:val="center"/>
            </w:pPr>
            <w:r>
              <w:rPr>
                <w:noProof/>
              </w:rPr>
              <w:drawing>
                <wp:inline distT="0" distB="0" distL="0" distR="0">
                  <wp:extent cx="1215000" cy="1620000"/>
                  <wp:effectExtent l="19050" t="0" r="4200" b="0"/>
                  <wp:docPr id="9" name="Picture 7" descr="L:\RTW Fund Project\Stage Four SAWIC Codes 488601 &amp; 488501 - 33 templates\Fish and Takeaway Retailing\STAX\IMG_3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 - 33 templates\Fish and Takeaway Retailing\STAX\IMG_3320.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44" w:type="pct"/>
          </w:tcPr>
          <w:p w:rsidR="00470FB6" w:rsidRPr="00E3626B" w:rsidRDefault="00C1711E" w:rsidP="00B63D61">
            <w:pPr>
              <w:pStyle w:val="tBullet1000"/>
              <w:numPr>
                <w:ilvl w:val="0"/>
                <w:numId w:val="0"/>
              </w:numPr>
              <w:ind w:left="284" w:hanging="284"/>
              <w:rPr>
                <w:b/>
              </w:rPr>
            </w:pPr>
            <w:r w:rsidRPr="00E3626B">
              <w:rPr>
                <w:b/>
              </w:rPr>
              <w:t>Set Up</w:t>
            </w:r>
          </w:p>
          <w:p w:rsidR="00E3626B" w:rsidRDefault="00496BF6" w:rsidP="00E3626B">
            <w:pPr>
              <w:pStyle w:val="tBullet1000"/>
              <w:numPr>
                <w:ilvl w:val="0"/>
                <w:numId w:val="43"/>
              </w:numPr>
              <w:ind w:left="363"/>
            </w:pPr>
            <w:r>
              <w:t>Each morning take</w:t>
            </w:r>
            <w:r w:rsidR="00597617">
              <w:t xml:space="preserve"> outside 4 tables and accompanying chairs. Carrying / pulling required. These need to be brought in at the end of the day also. </w:t>
            </w:r>
          </w:p>
          <w:p w:rsidR="00597617" w:rsidRDefault="00597617" w:rsidP="00597617">
            <w:pPr>
              <w:pStyle w:val="tBullet1000"/>
              <w:numPr>
                <w:ilvl w:val="0"/>
                <w:numId w:val="43"/>
              </w:numPr>
              <w:ind w:left="363"/>
            </w:pPr>
            <w:r>
              <w:t xml:space="preserve">Stocking drinks fridge requiring grasping and reaching between floor and overhead height. Task performed as required. </w:t>
            </w:r>
          </w:p>
          <w:p w:rsidR="00597617" w:rsidRDefault="00597617" w:rsidP="00597617">
            <w:pPr>
              <w:pStyle w:val="tBullet1000"/>
              <w:numPr>
                <w:ilvl w:val="0"/>
                <w:numId w:val="43"/>
              </w:numPr>
              <w:ind w:left="363"/>
            </w:pPr>
            <w:r>
              <w:t>Preparing food area by taking fillings out of cool room in trays and carrying to display cabinet. Filling display cabinet r</w:t>
            </w:r>
            <w:r w:rsidR="004873A2">
              <w:t>equires some bending, reaching</w:t>
            </w:r>
            <w:r>
              <w:t xml:space="preserve">, and grasping. </w:t>
            </w:r>
            <w:r w:rsidR="00633300">
              <w:t>Reverse done at end of day.</w:t>
            </w:r>
          </w:p>
          <w:p w:rsidR="00633300" w:rsidRDefault="00633300" w:rsidP="00597617">
            <w:pPr>
              <w:pStyle w:val="tBullet1000"/>
              <w:numPr>
                <w:ilvl w:val="0"/>
                <w:numId w:val="43"/>
              </w:numPr>
              <w:ind w:left="363"/>
            </w:pPr>
            <w:r>
              <w:t xml:space="preserve">Receiving deliveries, brought into store by delivery driver. Worker helps </w:t>
            </w:r>
            <w:r w:rsidR="00496BF6">
              <w:t xml:space="preserve">to put items in correct area </w:t>
            </w:r>
            <w:proofErr w:type="spellStart"/>
            <w:r w:rsidR="00496BF6">
              <w:t>eg</w:t>
            </w:r>
            <w:proofErr w:type="spellEnd"/>
            <w:r>
              <w:t xml:space="preserve"> bread. </w:t>
            </w:r>
          </w:p>
        </w:tc>
        <w:tc>
          <w:tcPr>
            <w:tcW w:w="1448" w:type="pct"/>
          </w:tcPr>
          <w:p w:rsidR="00470FB6" w:rsidRDefault="00470FB6" w:rsidP="0069267D">
            <w:pPr>
              <w:pStyle w:val="tHeading"/>
            </w:pPr>
            <w:r>
              <w:t>Doctor Approval</w:t>
            </w:r>
          </w:p>
          <w:p w:rsidR="00470FB6" w:rsidRPr="00470FB6" w:rsidRDefault="004E42E5"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C35E7B">
              <w:rPr>
                <w:b w:val="0"/>
              </w:rPr>
            </w:r>
            <w:r w:rsidR="00C35E7B">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C35E7B">
              <w:rPr>
                <w:b w:val="0"/>
              </w:rPr>
            </w:r>
            <w:r w:rsidR="00C35E7B">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8E2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471"/>
        </w:trPr>
        <w:tc>
          <w:tcPr>
            <w:tcW w:w="1708" w:type="pct"/>
          </w:tcPr>
          <w:p w:rsidR="008458BD" w:rsidRDefault="00C35E7B" w:rsidP="00020D03">
            <w:pPr>
              <w:pStyle w:val="tNormal"/>
              <w:jc w:val="center"/>
            </w:pPr>
            <w:r>
              <w:rPr>
                <w:noProof/>
              </w:rPr>
              <w:lastRenderedPageBreak/>
              <w:pict>
                <v:oval id="_x0000_s1031" style="position:absolute;left:0;text-align:left;margin-left:42.3pt;margin-top:134.85pt;width:32.25pt;height:38.25pt;z-index:251663360;mso-position-horizontal-relative:text;mso-position-vertical-relative:text">
                  <v:fill color2="fill darken(118)" rotate="t" method="linear sigma" focus="-50%" type="gradient"/>
                </v:oval>
              </w:pict>
            </w:r>
            <w:r>
              <w:rPr>
                <w:noProof/>
              </w:rPr>
              <w:pict>
                <v:oval id="_x0000_s1028" style="position:absolute;left:0;text-align:left;margin-left:98.05pt;margin-top:17.1pt;width:16.25pt;height:16.6pt;z-index:251660288;mso-position-horizontal-relative:text;mso-position-vertical-relative:text">
                  <v:fill color2="fill darken(118)" rotate="t" method="linear sigma" focus="-50%" type="gradient"/>
                </v:oval>
              </w:pict>
            </w:r>
            <w:r w:rsidR="008458BD">
              <w:rPr>
                <w:noProof/>
              </w:rPr>
              <w:drawing>
                <wp:inline distT="0" distB="0" distL="0" distR="0">
                  <wp:extent cx="1219880" cy="1620000"/>
                  <wp:effectExtent l="19050" t="0" r="0" b="0"/>
                  <wp:docPr id="10" name="Picture 8" descr="L:\RTW Fund Project\Stage Four SAWIC Codes 488601 &amp; 488501 - 33 templates\Fish and Takeaway Retailing\STAX\IMG_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Four SAWIC Codes 488601 &amp; 488501 - 33 templates\Fish and Takeaway Retailing\STAX\IMG_3321.JPG"/>
                          <pic:cNvPicPr>
                            <a:picLocks noChangeAspect="1" noChangeArrowheads="1"/>
                          </pic:cNvPicPr>
                        </pic:nvPicPr>
                        <pic:blipFill>
                          <a:blip r:embed="rId13" cstate="print"/>
                          <a:srcRect/>
                          <a:stretch>
                            <a:fillRect/>
                          </a:stretch>
                        </pic:blipFill>
                        <pic:spPr bwMode="auto">
                          <a:xfrm>
                            <a:off x="0" y="0"/>
                            <a:ext cx="1219880" cy="1620000"/>
                          </a:xfrm>
                          <a:prstGeom prst="rect">
                            <a:avLst/>
                          </a:prstGeom>
                          <a:noFill/>
                          <a:ln w="9525">
                            <a:noFill/>
                            <a:miter lim="800000"/>
                            <a:headEnd/>
                            <a:tailEnd/>
                          </a:ln>
                        </pic:spPr>
                      </pic:pic>
                    </a:graphicData>
                  </a:graphic>
                </wp:inline>
              </w:drawing>
            </w:r>
          </w:p>
          <w:p w:rsidR="008458BD" w:rsidRDefault="008458BD" w:rsidP="00020D03">
            <w:pPr>
              <w:pStyle w:val="tNormal"/>
              <w:jc w:val="center"/>
            </w:pPr>
            <w:r>
              <w:rPr>
                <w:noProof/>
              </w:rPr>
              <w:drawing>
                <wp:inline distT="0" distB="0" distL="0" distR="0">
                  <wp:extent cx="1219880" cy="1620000"/>
                  <wp:effectExtent l="19050" t="0" r="0" b="0"/>
                  <wp:docPr id="11" name="Picture 9" descr="L:\RTW Fund Project\Stage Four SAWIC Codes 488601 &amp; 488501 - 33 templates\Fish and Takeaway Retailing\STAX\IMG_3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Four SAWIC Codes 488601 &amp; 488501 - 33 templates\Fish and Takeaway Retailing\STAX\IMG_3315.JPG"/>
                          <pic:cNvPicPr>
                            <a:picLocks noChangeAspect="1" noChangeArrowheads="1"/>
                          </pic:cNvPicPr>
                        </pic:nvPicPr>
                        <pic:blipFill>
                          <a:blip r:embed="rId14" cstate="print"/>
                          <a:srcRect/>
                          <a:stretch>
                            <a:fillRect/>
                          </a:stretch>
                        </pic:blipFill>
                        <pic:spPr bwMode="auto">
                          <a:xfrm>
                            <a:off x="0" y="0"/>
                            <a:ext cx="1219880" cy="1620000"/>
                          </a:xfrm>
                          <a:prstGeom prst="rect">
                            <a:avLst/>
                          </a:prstGeom>
                          <a:noFill/>
                          <a:ln w="9525">
                            <a:noFill/>
                            <a:miter lim="800000"/>
                            <a:headEnd/>
                            <a:tailEnd/>
                          </a:ln>
                        </pic:spPr>
                      </pic:pic>
                    </a:graphicData>
                  </a:graphic>
                </wp:inline>
              </w:drawing>
            </w:r>
          </w:p>
          <w:p w:rsidR="008458BD" w:rsidRDefault="00C35E7B" w:rsidP="00020D03">
            <w:pPr>
              <w:pStyle w:val="tNormal"/>
              <w:jc w:val="center"/>
            </w:pPr>
            <w:r>
              <w:rPr>
                <w:noProof/>
              </w:rPr>
              <w:pict>
                <v:oval id="_x0000_s1027" style="position:absolute;left:0;text-align:left;margin-left:35.55pt;margin-top:18.65pt;width:28.25pt;height:27pt;z-index:251659264;mso-position-horizontal-relative:text;mso-position-vertical-relative:text">
                  <v:fill color2="fill darken(118)" rotate="t" method="linear sigma" focus="-50%" type="gradient"/>
                </v:oval>
              </w:pict>
            </w:r>
            <w:r>
              <w:rPr>
                <w:noProof/>
              </w:rPr>
              <w:pict>
                <v:oval id="_x0000_s1026" style="position:absolute;left:0;text-align:left;margin-left:102.3pt;margin-top:7.4pt;width:16.25pt;height:16.6pt;z-index:251658240;mso-position-horizontal-relative:text;mso-position-vertical-relative:text">
                  <v:fill color2="fill darken(118)" rotate="t" method="linear sigma" focus="-50%" type="gradient"/>
                </v:oval>
              </w:pict>
            </w:r>
            <w:r w:rsidR="008458BD">
              <w:rPr>
                <w:noProof/>
              </w:rPr>
              <w:drawing>
                <wp:inline distT="0" distB="0" distL="0" distR="0">
                  <wp:extent cx="1219880" cy="1620000"/>
                  <wp:effectExtent l="19050" t="0" r="0" b="0"/>
                  <wp:docPr id="12" name="Picture 10" descr="L:\RTW Fund Project\Stage Four SAWIC Codes 488601 &amp; 488501 - 33 templates\Fish and Takeaway Retailing\STAX\IMG_3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Four SAWIC Codes 488601 &amp; 488501 - 33 templates\Fish and Takeaway Retailing\STAX\IMG_3313.JPG"/>
                          <pic:cNvPicPr>
                            <a:picLocks noChangeAspect="1" noChangeArrowheads="1"/>
                          </pic:cNvPicPr>
                        </pic:nvPicPr>
                        <pic:blipFill>
                          <a:blip r:embed="rId15" cstate="print"/>
                          <a:srcRect/>
                          <a:stretch>
                            <a:fillRect/>
                          </a:stretch>
                        </pic:blipFill>
                        <pic:spPr bwMode="auto">
                          <a:xfrm>
                            <a:off x="0" y="0"/>
                            <a:ext cx="1219880" cy="1620000"/>
                          </a:xfrm>
                          <a:prstGeom prst="rect">
                            <a:avLst/>
                          </a:prstGeom>
                          <a:noFill/>
                          <a:ln w="9525">
                            <a:noFill/>
                            <a:miter lim="800000"/>
                            <a:headEnd/>
                            <a:tailEnd/>
                          </a:ln>
                        </pic:spPr>
                      </pic:pic>
                    </a:graphicData>
                  </a:graphic>
                </wp:inline>
              </w:drawing>
            </w:r>
          </w:p>
          <w:p w:rsidR="00876C93" w:rsidRDefault="00876C93" w:rsidP="004873A2">
            <w:pPr>
              <w:pStyle w:val="tNormal"/>
              <w:jc w:val="center"/>
            </w:pPr>
            <w:r>
              <w:rPr>
                <w:noProof/>
              </w:rPr>
              <w:drawing>
                <wp:inline distT="0" distB="0" distL="0" distR="0">
                  <wp:extent cx="1219880" cy="1620000"/>
                  <wp:effectExtent l="19050" t="0" r="0" b="0"/>
                  <wp:docPr id="13" name="Picture 11" descr="L:\RTW Fund Project\Stage Four SAWIC Codes 488601 &amp; 488501 - 33 templates\Fish and Takeaway Retailing\STAX\IMG_3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Four SAWIC Codes 488601 &amp; 488501 - 33 templates\Fish and Takeaway Retailing\STAX\IMG_3309.JPG"/>
                          <pic:cNvPicPr>
                            <a:picLocks noChangeAspect="1" noChangeArrowheads="1"/>
                          </pic:cNvPicPr>
                        </pic:nvPicPr>
                        <pic:blipFill>
                          <a:blip r:embed="rId16" cstate="print"/>
                          <a:srcRect/>
                          <a:stretch>
                            <a:fillRect/>
                          </a:stretch>
                        </pic:blipFill>
                        <pic:spPr bwMode="auto">
                          <a:xfrm>
                            <a:off x="0" y="0"/>
                            <a:ext cx="1219880" cy="1620000"/>
                          </a:xfrm>
                          <a:prstGeom prst="rect">
                            <a:avLst/>
                          </a:prstGeom>
                          <a:noFill/>
                          <a:ln w="9525">
                            <a:noFill/>
                            <a:miter lim="800000"/>
                            <a:headEnd/>
                            <a:tailEnd/>
                          </a:ln>
                        </pic:spPr>
                      </pic:pic>
                    </a:graphicData>
                  </a:graphic>
                </wp:inline>
              </w:drawing>
            </w:r>
          </w:p>
          <w:p w:rsidR="00876C93" w:rsidRDefault="00C35E7B" w:rsidP="00020D03">
            <w:pPr>
              <w:pStyle w:val="tNormal"/>
              <w:jc w:val="center"/>
            </w:pPr>
            <w:r>
              <w:rPr>
                <w:noProof/>
              </w:rPr>
              <w:pict>
                <v:oval id="_x0000_s1029" style="position:absolute;left:0;text-align:left;margin-left:98.05pt;margin-top:26.75pt;width:16.25pt;height:16.6pt;z-index:251661312;mso-position-horizontal-relative:text;mso-position-vertical-relative:text">
                  <v:fill color2="fill darken(118)" rotate="t" method="linear sigma" focus="-50%" type="gradient"/>
                </v:oval>
              </w:pict>
            </w:r>
            <w:r w:rsidR="004873A2">
              <w:rPr>
                <w:noProof/>
              </w:rPr>
              <w:drawing>
                <wp:inline distT="0" distB="0" distL="0" distR="0">
                  <wp:extent cx="1219880" cy="1620000"/>
                  <wp:effectExtent l="19050" t="0" r="0" b="0"/>
                  <wp:docPr id="1" name="Picture 15" descr="L:\RTW Fund Project\Stage Four SAWIC Codes 488601 &amp; 488501 - 33 templates\Fish and Takeaway Retailing\STAX\IMG_3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RTW Fund Project\Stage Four SAWIC Codes 488601 &amp; 488501 - 33 templates\Fish and Takeaway Retailing\STAX\IMG_3326.JPG"/>
                          <pic:cNvPicPr>
                            <a:picLocks noChangeAspect="1" noChangeArrowheads="1"/>
                          </pic:cNvPicPr>
                        </pic:nvPicPr>
                        <pic:blipFill>
                          <a:blip r:embed="rId17" cstate="print"/>
                          <a:srcRect/>
                          <a:stretch>
                            <a:fillRect/>
                          </a:stretch>
                        </pic:blipFill>
                        <pic:spPr bwMode="auto">
                          <a:xfrm>
                            <a:off x="0" y="0"/>
                            <a:ext cx="1219880" cy="1620000"/>
                          </a:xfrm>
                          <a:prstGeom prst="rect">
                            <a:avLst/>
                          </a:prstGeom>
                          <a:noFill/>
                          <a:ln w="9525">
                            <a:noFill/>
                            <a:miter lim="800000"/>
                            <a:headEnd/>
                            <a:tailEnd/>
                          </a:ln>
                        </pic:spPr>
                      </pic:pic>
                    </a:graphicData>
                  </a:graphic>
                </wp:inline>
              </w:drawing>
            </w:r>
          </w:p>
          <w:p w:rsidR="00876C93" w:rsidRDefault="00876C93" w:rsidP="00020D03">
            <w:pPr>
              <w:pStyle w:val="tNormal"/>
              <w:jc w:val="center"/>
            </w:pPr>
          </w:p>
          <w:p w:rsidR="00E3626B" w:rsidRDefault="00E3626B" w:rsidP="000F57FA">
            <w:pPr>
              <w:pStyle w:val="tNormal"/>
            </w:pPr>
          </w:p>
        </w:tc>
        <w:tc>
          <w:tcPr>
            <w:tcW w:w="1844" w:type="pct"/>
          </w:tcPr>
          <w:p w:rsidR="00470FB6" w:rsidRPr="00E3626B" w:rsidRDefault="007242A0" w:rsidP="000F57FA">
            <w:pPr>
              <w:pStyle w:val="tBullet1000"/>
              <w:numPr>
                <w:ilvl w:val="0"/>
                <w:numId w:val="0"/>
              </w:numPr>
              <w:rPr>
                <w:b/>
              </w:rPr>
            </w:pPr>
            <w:r w:rsidRPr="00E3626B">
              <w:rPr>
                <w:b/>
              </w:rPr>
              <w:t>Customer Service</w:t>
            </w:r>
            <w:r w:rsidR="000F57FA">
              <w:rPr>
                <w:b/>
              </w:rPr>
              <w:t xml:space="preserve"> and Sandwich </w:t>
            </w:r>
            <w:r w:rsidR="00E3626B">
              <w:rPr>
                <w:b/>
              </w:rPr>
              <w:t>Making</w:t>
            </w:r>
          </w:p>
          <w:p w:rsidR="00E3626B" w:rsidRDefault="001462E8" w:rsidP="00E3626B">
            <w:pPr>
              <w:pStyle w:val="tBullet1000"/>
              <w:numPr>
                <w:ilvl w:val="0"/>
                <w:numId w:val="43"/>
              </w:numPr>
              <w:ind w:left="363"/>
            </w:pPr>
            <w:r>
              <w:t>Touch screen POS, cash handling. Forward reaching over counter</w:t>
            </w:r>
            <w:r w:rsidR="00C641E8">
              <w:t>.</w:t>
            </w:r>
            <w:r>
              <w:t xml:space="preserve"> </w:t>
            </w:r>
          </w:p>
          <w:p w:rsidR="00633300" w:rsidRDefault="00597617" w:rsidP="00633300">
            <w:pPr>
              <w:pStyle w:val="tBullet1000"/>
              <w:numPr>
                <w:ilvl w:val="0"/>
                <w:numId w:val="43"/>
              </w:numPr>
              <w:ind w:left="363"/>
            </w:pPr>
            <w:r>
              <w:t>Sandwiches made to order</w:t>
            </w:r>
            <w:r w:rsidR="00633300">
              <w:t xml:space="preserve"> whilst standing at counter behind display cabinet with fillings inside. Use of tongs and knives requiring repetitive grasping. Repetitive forward reaching into cabinet to acquire fillings as ordered. Meats and cheese are pre</w:t>
            </w:r>
            <w:r w:rsidR="00496BF6">
              <w:t>-</w:t>
            </w:r>
            <w:r w:rsidR="00633300">
              <w:t xml:space="preserve">sliced. </w:t>
            </w:r>
          </w:p>
          <w:p w:rsidR="001462E8" w:rsidRDefault="001462E8" w:rsidP="00E3626B">
            <w:pPr>
              <w:pStyle w:val="tBullet1000"/>
              <w:numPr>
                <w:ilvl w:val="0"/>
                <w:numId w:val="43"/>
              </w:numPr>
              <w:ind w:left="363"/>
            </w:pPr>
            <w:proofErr w:type="spellStart"/>
            <w:r>
              <w:t>Toastie</w:t>
            </w:r>
            <w:proofErr w:type="spellEnd"/>
            <w:r>
              <w:t xml:space="preserve"> machine on bench, m</w:t>
            </w:r>
            <w:r w:rsidR="004873A2">
              <w:t xml:space="preserve">icrowave above toasties requiring </w:t>
            </w:r>
            <w:proofErr w:type="gramStart"/>
            <w:r w:rsidR="00496BF6">
              <w:t>90</w:t>
            </w:r>
            <w:r w:rsidR="00496BF6" w:rsidRPr="00496BF6">
              <w:rPr>
                <w:vertAlign w:val="superscript"/>
              </w:rPr>
              <w:t>o</w:t>
            </w:r>
            <w:r w:rsidR="00496BF6">
              <w:t xml:space="preserve">  </w:t>
            </w:r>
            <w:r w:rsidR="004873A2">
              <w:t>shoulder</w:t>
            </w:r>
            <w:proofErr w:type="gramEnd"/>
            <w:r w:rsidR="004873A2">
              <w:t xml:space="preserve"> flexion to reach</w:t>
            </w:r>
            <w:r w:rsidR="00C641E8">
              <w:t>.</w:t>
            </w:r>
          </w:p>
          <w:p w:rsidR="00633300" w:rsidRDefault="004873A2" w:rsidP="00E3626B">
            <w:pPr>
              <w:pStyle w:val="tBullet1000"/>
              <w:numPr>
                <w:ilvl w:val="0"/>
                <w:numId w:val="43"/>
              </w:numPr>
              <w:ind w:left="363"/>
            </w:pPr>
            <w:r>
              <w:t>Table service; carry</w:t>
            </w:r>
            <w:r w:rsidR="00633300">
              <w:t xml:space="preserve">ing plates and cups to customers sitting at tables. </w:t>
            </w:r>
          </w:p>
          <w:p w:rsidR="00633300" w:rsidRDefault="00633300" w:rsidP="00633300">
            <w:pPr>
              <w:pStyle w:val="tBullet1000"/>
              <w:numPr>
                <w:ilvl w:val="0"/>
                <w:numId w:val="43"/>
              </w:numPr>
              <w:ind w:left="363"/>
            </w:pPr>
            <w:r>
              <w:t xml:space="preserve">Constant standing and walking for the entire shift. Repetitive forward reaching at bench height and occasional reaching to head height to access equipment. Constant use of hands for handling money, preparing food and waiting. </w:t>
            </w:r>
          </w:p>
          <w:p w:rsidR="00633300" w:rsidRDefault="00633300" w:rsidP="00633300">
            <w:pPr>
              <w:pStyle w:val="tBullet1000"/>
              <w:numPr>
                <w:ilvl w:val="0"/>
                <w:numId w:val="0"/>
              </w:numPr>
              <w:ind w:left="363"/>
            </w:pPr>
          </w:p>
        </w:tc>
        <w:tc>
          <w:tcPr>
            <w:tcW w:w="1448" w:type="pct"/>
          </w:tcPr>
          <w:p w:rsidR="00470FB6" w:rsidRDefault="00470FB6" w:rsidP="00020D03">
            <w:pPr>
              <w:pStyle w:val="tHeading"/>
            </w:pPr>
            <w:r>
              <w:t>Doctor Approval</w:t>
            </w:r>
          </w:p>
          <w:p w:rsidR="00470FB6" w:rsidRPr="00470FB6" w:rsidRDefault="004E42E5" w:rsidP="00020D03">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C35E7B">
              <w:rPr>
                <w:b w:val="0"/>
              </w:rPr>
            </w:r>
            <w:r w:rsidR="00C35E7B">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C35E7B">
              <w:rPr>
                <w:b w:val="0"/>
              </w:rPr>
            </w:r>
            <w:r w:rsidR="00C35E7B">
              <w:rPr>
                <w:b w:val="0"/>
              </w:rPr>
              <w:fldChar w:fldCharType="separate"/>
            </w:r>
            <w:r w:rsidRPr="00470FB6">
              <w:rPr>
                <w:b w:val="0"/>
              </w:rPr>
              <w:fldChar w:fldCharType="end"/>
            </w:r>
            <w:r w:rsidR="00470FB6" w:rsidRPr="00470FB6">
              <w:rPr>
                <w:b w:val="0"/>
              </w:rPr>
              <w:t xml:space="preserve"> No</w:t>
            </w:r>
          </w:p>
          <w:p w:rsidR="00470FB6" w:rsidRPr="000B0521" w:rsidRDefault="00470FB6" w:rsidP="00020D03">
            <w:pPr>
              <w:pStyle w:val="tHeading"/>
            </w:pPr>
            <w:r w:rsidRPr="00470FB6">
              <w:rPr>
                <w:b w:val="0"/>
              </w:rPr>
              <w:t>Comments:</w:t>
            </w:r>
          </w:p>
        </w:tc>
      </w:tr>
      <w:tr w:rsidR="00876C93" w:rsidTr="00876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7"/>
        </w:trPr>
        <w:tc>
          <w:tcPr>
            <w:tcW w:w="1708" w:type="pct"/>
          </w:tcPr>
          <w:p w:rsidR="00876C93" w:rsidRDefault="00876C93" w:rsidP="00AE6213">
            <w:pPr>
              <w:pStyle w:val="tNormal"/>
              <w:jc w:val="center"/>
            </w:pPr>
            <w:r>
              <w:rPr>
                <w:noProof/>
              </w:rPr>
              <w:lastRenderedPageBreak/>
              <w:drawing>
                <wp:inline distT="0" distB="0" distL="0" distR="0">
                  <wp:extent cx="1215000" cy="1620000"/>
                  <wp:effectExtent l="19050" t="0" r="4200" b="0"/>
                  <wp:docPr id="18" name="Picture 2" descr="L:\RTW Fund Project\Stage Four SAWIC Codes 488601 &amp; 488501 - 33 templates\Fish and Takeaway Retailing\STAX\IMG_3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Fish and Takeaway Retailing\STAX\IMG_3317.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44" w:type="pct"/>
          </w:tcPr>
          <w:p w:rsidR="00876C93" w:rsidRPr="00E3626B" w:rsidRDefault="00876C93" w:rsidP="00AE6213">
            <w:pPr>
              <w:pStyle w:val="tBullet1000"/>
              <w:numPr>
                <w:ilvl w:val="0"/>
                <w:numId w:val="0"/>
              </w:numPr>
              <w:ind w:left="284" w:hanging="284"/>
              <w:rPr>
                <w:b/>
              </w:rPr>
            </w:pPr>
            <w:r w:rsidRPr="00E3626B">
              <w:rPr>
                <w:b/>
              </w:rPr>
              <w:t>Cleaning</w:t>
            </w:r>
          </w:p>
          <w:p w:rsidR="00876C93" w:rsidRDefault="00876C93" w:rsidP="00AE6213">
            <w:pPr>
              <w:pStyle w:val="tBullet1000"/>
              <w:numPr>
                <w:ilvl w:val="0"/>
                <w:numId w:val="43"/>
              </w:numPr>
              <w:ind w:left="363"/>
            </w:pPr>
            <w:r>
              <w:t>Wiping over tables as customers leave</w:t>
            </w:r>
            <w:r w:rsidR="00496BF6">
              <w:t>.</w:t>
            </w:r>
          </w:p>
          <w:p w:rsidR="00876C93" w:rsidRDefault="00876C93" w:rsidP="00AE6213">
            <w:pPr>
              <w:pStyle w:val="tBullet1000"/>
              <w:numPr>
                <w:ilvl w:val="0"/>
                <w:numId w:val="43"/>
              </w:numPr>
              <w:ind w:left="363"/>
            </w:pPr>
            <w:r>
              <w:t>Sweeping and mopping floors daily</w:t>
            </w:r>
            <w:r w:rsidR="00496BF6">
              <w:t>.</w:t>
            </w:r>
          </w:p>
          <w:p w:rsidR="00876C93" w:rsidRDefault="00876C93" w:rsidP="00AE6213">
            <w:pPr>
              <w:pStyle w:val="tBullet1000"/>
              <w:numPr>
                <w:ilvl w:val="0"/>
                <w:numId w:val="43"/>
              </w:numPr>
              <w:ind w:left="363"/>
            </w:pPr>
            <w:r>
              <w:t>Clearing dishes from tables and placing in dish washer in back kitchen or cleaning in sink.</w:t>
            </w:r>
          </w:p>
          <w:p w:rsidR="00876C93" w:rsidRDefault="00876C93" w:rsidP="00AE6213">
            <w:pPr>
              <w:pStyle w:val="tBullet1000"/>
              <w:numPr>
                <w:ilvl w:val="0"/>
                <w:numId w:val="43"/>
              </w:numPr>
              <w:ind w:left="363"/>
            </w:pPr>
            <w:r>
              <w:t>Cleaning benches; wiping over</w:t>
            </w:r>
            <w:r w:rsidR="00496BF6">
              <w:t>.</w:t>
            </w:r>
          </w:p>
          <w:p w:rsidR="00876C93" w:rsidRDefault="00876C93" w:rsidP="00AE6213">
            <w:pPr>
              <w:pStyle w:val="tBullet1000"/>
              <w:numPr>
                <w:ilvl w:val="0"/>
                <w:numId w:val="43"/>
              </w:numPr>
              <w:ind w:left="363"/>
            </w:pPr>
            <w:r>
              <w:t>Cleaning out display cabinets as required, removing plates, wiping trays and glass inside and out</w:t>
            </w:r>
            <w:r w:rsidR="00496BF6">
              <w:t>.</w:t>
            </w:r>
          </w:p>
          <w:p w:rsidR="00876C93" w:rsidRDefault="00876C93" w:rsidP="00AE6213">
            <w:pPr>
              <w:pStyle w:val="tBullet1000"/>
              <w:numPr>
                <w:ilvl w:val="0"/>
                <w:numId w:val="43"/>
              </w:numPr>
              <w:ind w:left="363"/>
            </w:pPr>
            <w:r>
              <w:t>Pulling bin to common area for emptying</w:t>
            </w:r>
            <w:r w:rsidR="00496BF6">
              <w:t>.</w:t>
            </w:r>
          </w:p>
          <w:p w:rsidR="00876C93" w:rsidRDefault="00876C93" w:rsidP="00AE6213">
            <w:pPr>
              <w:pStyle w:val="tBullet1000"/>
              <w:numPr>
                <w:ilvl w:val="0"/>
                <w:numId w:val="43"/>
              </w:numPr>
              <w:ind w:left="363"/>
            </w:pPr>
            <w:r>
              <w:t xml:space="preserve">Constant standing, constant forward reaching, occasional bending, constant handling, occasional pushing and carrying light loads. </w:t>
            </w:r>
          </w:p>
        </w:tc>
        <w:tc>
          <w:tcPr>
            <w:tcW w:w="1448" w:type="pct"/>
          </w:tcPr>
          <w:p w:rsidR="00876C93" w:rsidRDefault="00876C93" w:rsidP="00AE6213">
            <w:pPr>
              <w:pStyle w:val="tHeading"/>
            </w:pPr>
            <w:r>
              <w:t>Doctor Approval</w:t>
            </w:r>
          </w:p>
          <w:p w:rsidR="00876C93" w:rsidRPr="00470FB6" w:rsidRDefault="004E42E5" w:rsidP="00AE6213">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876C93" w:rsidRPr="00470FB6">
              <w:rPr>
                <w:b w:val="0"/>
              </w:rPr>
              <w:instrText xml:space="preserve"> FORMCHECKBOX </w:instrText>
            </w:r>
            <w:r w:rsidR="00C35E7B">
              <w:rPr>
                <w:b w:val="0"/>
              </w:rPr>
            </w:r>
            <w:r w:rsidR="00C35E7B">
              <w:rPr>
                <w:b w:val="0"/>
              </w:rPr>
              <w:fldChar w:fldCharType="separate"/>
            </w:r>
            <w:r w:rsidRPr="00470FB6">
              <w:rPr>
                <w:b w:val="0"/>
              </w:rPr>
              <w:fldChar w:fldCharType="end"/>
            </w:r>
            <w:r w:rsidR="00876C93" w:rsidRPr="00470FB6">
              <w:rPr>
                <w:b w:val="0"/>
              </w:rPr>
              <w:t xml:space="preserve"> Yes</w:t>
            </w:r>
            <w:r w:rsidR="00876C93" w:rsidRPr="00470FB6">
              <w:rPr>
                <w:b w:val="0"/>
              </w:rPr>
              <w:tab/>
            </w:r>
            <w:r w:rsidRPr="00470FB6">
              <w:rPr>
                <w:b w:val="0"/>
              </w:rPr>
              <w:fldChar w:fldCharType="begin">
                <w:ffData>
                  <w:name w:val="Check2"/>
                  <w:enabled/>
                  <w:calcOnExit w:val="0"/>
                  <w:checkBox>
                    <w:sizeAuto/>
                    <w:default w:val="0"/>
                  </w:checkBox>
                </w:ffData>
              </w:fldChar>
            </w:r>
            <w:r w:rsidR="00876C93" w:rsidRPr="00470FB6">
              <w:rPr>
                <w:b w:val="0"/>
              </w:rPr>
              <w:instrText xml:space="preserve"> FORMCHECKBOX </w:instrText>
            </w:r>
            <w:r w:rsidR="00C35E7B">
              <w:rPr>
                <w:b w:val="0"/>
              </w:rPr>
            </w:r>
            <w:r w:rsidR="00C35E7B">
              <w:rPr>
                <w:b w:val="0"/>
              </w:rPr>
              <w:fldChar w:fldCharType="separate"/>
            </w:r>
            <w:r w:rsidRPr="00470FB6">
              <w:rPr>
                <w:b w:val="0"/>
              </w:rPr>
              <w:fldChar w:fldCharType="end"/>
            </w:r>
            <w:r w:rsidR="00876C93" w:rsidRPr="00470FB6">
              <w:rPr>
                <w:b w:val="0"/>
              </w:rPr>
              <w:t xml:space="preserve"> No</w:t>
            </w:r>
          </w:p>
          <w:p w:rsidR="00876C93" w:rsidRPr="000B0521" w:rsidRDefault="00876C93" w:rsidP="00AE6213">
            <w:pPr>
              <w:pStyle w:val="tHeading"/>
            </w:pPr>
            <w:r w:rsidRPr="00470FB6">
              <w:rPr>
                <w:b w:val="0"/>
              </w:rPr>
              <w:t>Comments:</w:t>
            </w:r>
          </w:p>
        </w:tc>
      </w:tr>
      <w:tr w:rsidR="00876C93" w:rsidTr="00876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6"/>
        </w:trPr>
        <w:tc>
          <w:tcPr>
            <w:tcW w:w="1708" w:type="pct"/>
          </w:tcPr>
          <w:p w:rsidR="00876C93" w:rsidRDefault="00876C93" w:rsidP="00AE6213">
            <w:pPr>
              <w:pStyle w:val="tNormal"/>
              <w:jc w:val="center"/>
            </w:pPr>
            <w:r>
              <w:rPr>
                <w:noProof/>
              </w:rPr>
              <w:drawing>
                <wp:inline distT="0" distB="0" distL="0" distR="0">
                  <wp:extent cx="1215000" cy="1620000"/>
                  <wp:effectExtent l="19050" t="0" r="4200" b="0"/>
                  <wp:docPr id="19" name="Picture 3" descr="L:\RTW Fund Project\Stage Four SAWIC Codes 488601 &amp; 488501 - 33 templates\Fish and Takeaway Retailing\STAX\IMG_3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Fish and Takeaway Retailing\STAX\IMG_3325.JPG"/>
                          <pic:cNvPicPr>
                            <a:picLocks noChangeAspect="1" noChangeArrowheads="1"/>
                          </pic:cNvPicPr>
                        </pic:nvPicPr>
                        <pic:blipFill>
                          <a:blip r:embed="rId19"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44" w:type="pct"/>
          </w:tcPr>
          <w:p w:rsidR="00876C93" w:rsidRPr="00E3626B" w:rsidRDefault="00876C93" w:rsidP="00AE6213">
            <w:pPr>
              <w:pStyle w:val="tBullet1000"/>
              <w:numPr>
                <w:ilvl w:val="0"/>
                <w:numId w:val="0"/>
              </w:numPr>
              <w:ind w:left="284" w:hanging="284"/>
              <w:rPr>
                <w:b/>
              </w:rPr>
            </w:pPr>
            <w:r w:rsidRPr="00E3626B">
              <w:rPr>
                <w:b/>
              </w:rPr>
              <w:t>Deliveries</w:t>
            </w:r>
          </w:p>
          <w:p w:rsidR="00876C93" w:rsidRDefault="00876C93" w:rsidP="00AE6213">
            <w:pPr>
              <w:pStyle w:val="tBullet1000"/>
              <w:numPr>
                <w:ilvl w:val="0"/>
                <w:numId w:val="43"/>
              </w:numPr>
              <w:ind w:left="363"/>
            </w:pPr>
            <w:r>
              <w:t>Catering for offices nearby.</w:t>
            </w:r>
          </w:p>
          <w:p w:rsidR="00876C93" w:rsidRDefault="00876C93" w:rsidP="00AE6213">
            <w:pPr>
              <w:pStyle w:val="tBullet1000"/>
              <w:numPr>
                <w:ilvl w:val="0"/>
                <w:numId w:val="43"/>
              </w:numPr>
              <w:ind w:left="363"/>
            </w:pPr>
            <w:r>
              <w:t xml:space="preserve">Placing trays of made sandwiches and possibly coffees on a three tiered trolley and pushing to offices. </w:t>
            </w:r>
          </w:p>
          <w:p w:rsidR="00876C93" w:rsidRDefault="00876C93" w:rsidP="00AE6213">
            <w:pPr>
              <w:pStyle w:val="tBullet1000"/>
              <w:numPr>
                <w:ilvl w:val="0"/>
                <w:numId w:val="43"/>
              </w:numPr>
              <w:ind w:left="363"/>
            </w:pPr>
            <w:r>
              <w:t xml:space="preserve">Many are in the same building as the café and an elevator is used. </w:t>
            </w:r>
          </w:p>
          <w:p w:rsidR="00876C93" w:rsidRDefault="00876C93" w:rsidP="00AE6213">
            <w:pPr>
              <w:pStyle w:val="tBullet1000"/>
              <w:numPr>
                <w:ilvl w:val="0"/>
                <w:numId w:val="43"/>
              </w:numPr>
              <w:ind w:left="363"/>
            </w:pPr>
            <w:r>
              <w:t>If it is a small order it may be carried instead of using the trolley.</w:t>
            </w:r>
          </w:p>
        </w:tc>
        <w:tc>
          <w:tcPr>
            <w:tcW w:w="1448" w:type="pct"/>
          </w:tcPr>
          <w:p w:rsidR="00876C93" w:rsidRDefault="00876C93" w:rsidP="00AE6213">
            <w:pPr>
              <w:pStyle w:val="tHeading"/>
            </w:pPr>
            <w:r>
              <w:t>Doctor Approval</w:t>
            </w:r>
          </w:p>
          <w:p w:rsidR="00876C93" w:rsidRPr="00470FB6" w:rsidRDefault="004E42E5" w:rsidP="00AE6213">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876C93" w:rsidRPr="00470FB6">
              <w:rPr>
                <w:b w:val="0"/>
              </w:rPr>
              <w:instrText xml:space="preserve"> FORMCHECKBOX </w:instrText>
            </w:r>
            <w:r w:rsidR="00C35E7B">
              <w:rPr>
                <w:b w:val="0"/>
              </w:rPr>
            </w:r>
            <w:r w:rsidR="00C35E7B">
              <w:rPr>
                <w:b w:val="0"/>
              </w:rPr>
              <w:fldChar w:fldCharType="separate"/>
            </w:r>
            <w:r w:rsidRPr="00470FB6">
              <w:rPr>
                <w:b w:val="0"/>
              </w:rPr>
              <w:fldChar w:fldCharType="end"/>
            </w:r>
            <w:r w:rsidR="00876C93" w:rsidRPr="00470FB6">
              <w:rPr>
                <w:b w:val="0"/>
              </w:rPr>
              <w:t xml:space="preserve"> Yes</w:t>
            </w:r>
            <w:r w:rsidR="00876C93" w:rsidRPr="00470FB6">
              <w:rPr>
                <w:b w:val="0"/>
              </w:rPr>
              <w:tab/>
            </w:r>
            <w:r w:rsidRPr="00470FB6">
              <w:rPr>
                <w:b w:val="0"/>
              </w:rPr>
              <w:fldChar w:fldCharType="begin">
                <w:ffData>
                  <w:name w:val="Check2"/>
                  <w:enabled/>
                  <w:calcOnExit w:val="0"/>
                  <w:checkBox>
                    <w:sizeAuto/>
                    <w:default w:val="0"/>
                  </w:checkBox>
                </w:ffData>
              </w:fldChar>
            </w:r>
            <w:r w:rsidR="00876C93" w:rsidRPr="00470FB6">
              <w:rPr>
                <w:b w:val="0"/>
              </w:rPr>
              <w:instrText xml:space="preserve"> FORMCHECKBOX </w:instrText>
            </w:r>
            <w:r w:rsidR="00C35E7B">
              <w:rPr>
                <w:b w:val="0"/>
              </w:rPr>
            </w:r>
            <w:r w:rsidR="00C35E7B">
              <w:rPr>
                <w:b w:val="0"/>
              </w:rPr>
              <w:fldChar w:fldCharType="separate"/>
            </w:r>
            <w:r w:rsidRPr="00470FB6">
              <w:rPr>
                <w:b w:val="0"/>
              </w:rPr>
              <w:fldChar w:fldCharType="end"/>
            </w:r>
            <w:r w:rsidR="00876C93" w:rsidRPr="00470FB6">
              <w:rPr>
                <w:b w:val="0"/>
              </w:rPr>
              <w:t xml:space="preserve"> No</w:t>
            </w:r>
          </w:p>
          <w:p w:rsidR="00876C93" w:rsidRPr="000B0521" w:rsidRDefault="00876C93" w:rsidP="00AE6213">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DF2F50" w:rsidRDefault="00DF2F50" w:rsidP="00DF2F50">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w:t>
      </w:r>
      <w:proofErr w:type="spellStart"/>
      <w:r w:rsidRPr="00DA14AC">
        <w:rPr>
          <w:rFonts w:cs="Arial"/>
          <w:bCs/>
          <w:i/>
          <w:sz w:val="16"/>
          <w:szCs w:val="16"/>
        </w:rPr>
        <w:t>ReturnToWorkSA</w:t>
      </w:r>
      <w:proofErr w:type="spellEnd"/>
      <w:r w:rsidRPr="00DA14AC">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DA14AC">
        <w:rPr>
          <w:rFonts w:cs="Arial"/>
          <w:bCs/>
          <w:i/>
          <w:sz w:val="16"/>
          <w:szCs w:val="16"/>
        </w:rPr>
        <w:t>ReturnToWorkSA</w:t>
      </w:r>
      <w:proofErr w:type="spellEnd"/>
      <w:r w:rsidRPr="00DA14AC">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xml:space="preserve">. (C) 2016 </w:t>
      </w:r>
      <w:proofErr w:type="spellStart"/>
      <w:r w:rsidRPr="00DA14AC">
        <w:rPr>
          <w:rFonts w:cs="Arial"/>
          <w:bCs/>
          <w:sz w:val="16"/>
          <w:szCs w:val="16"/>
        </w:rPr>
        <w:t>ReturnToWorkSA</w:t>
      </w:r>
      <w:bookmarkStart w:id="2" w:name="_GoBack"/>
      <w:bookmarkEnd w:id="2"/>
      <w:proofErr w:type="spellEnd"/>
    </w:p>
    <w:sectPr w:rsidR="003E3726" w:rsidRPr="00DF2F50" w:rsidSect="002C074E">
      <w:headerReference w:type="default" r:id="rId20"/>
      <w:footerReference w:type="default" r:id="rId21"/>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213" w:rsidRDefault="00AE6213" w:rsidP="008F4CA6">
      <w:pPr>
        <w:spacing w:before="0" w:after="0"/>
      </w:pPr>
      <w:r>
        <w:separator/>
      </w:r>
    </w:p>
  </w:endnote>
  <w:endnote w:type="continuationSeparator" w:id="0">
    <w:p w:rsidR="00AE6213" w:rsidRDefault="00AE6213"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AE6213" w:rsidTr="004560CA">
      <w:tc>
        <w:tcPr>
          <w:tcW w:w="3285" w:type="dxa"/>
        </w:tcPr>
        <w:p w:rsidR="00AE6213" w:rsidRDefault="00AE6213">
          <w:pPr>
            <w:pStyle w:val="Footer"/>
            <w:pBdr>
              <w:top w:val="none" w:sz="0" w:space="0" w:color="auto"/>
            </w:pBdr>
          </w:pPr>
        </w:p>
      </w:tc>
      <w:tc>
        <w:tcPr>
          <w:tcW w:w="3285" w:type="dxa"/>
        </w:tcPr>
        <w:p w:rsidR="00AE6213" w:rsidRDefault="00AE6213">
          <w:pPr>
            <w:pStyle w:val="Footer"/>
            <w:pBdr>
              <w:top w:val="none" w:sz="0" w:space="0" w:color="auto"/>
            </w:pBdr>
          </w:pPr>
        </w:p>
      </w:tc>
      <w:tc>
        <w:tcPr>
          <w:tcW w:w="3285" w:type="dxa"/>
        </w:tcPr>
        <w:p w:rsidR="00AE6213" w:rsidRDefault="00AE6213" w:rsidP="008A4CB0">
          <w:pPr>
            <w:pStyle w:val="Footer"/>
            <w:pBdr>
              <w:top w:val="none" w:sz="0" w:space="0" w:color="auto"/>
            </w:pBdr>
            <w:jc w:val="right"/>
          </w:pPr>
        </w:p>
      </w:tc>
    </w:tr>
  </w:tbl>
  <w:p w:rsidR="00AE6213" w:rsidRDefault="00AE6213"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AE6213" w:rsidRDefault="00A20F03" w:rsidP="00BD76C2">
        <w:pPr>
          <w:pStyle w:val="Footer"/>
          <w:jc w:val="right"/>
        </w:pPr>
        <w:r>
          <w:fldChar w:fldCharType="begin"/>
        </w:r>
        <w:r>
          <w:instrText xml:space="preserve"> PAGE   \* MERGEFORMAT </w:instrText>
        </w:r>
        <w:r>
          <w:fldChar w:fldCharType="separate"/>
        </w:r>
        <w:r w:rsidR="00C35E7B">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213" w:rsidRDefault="00AE6213" w:rsidP="008F4CA6">
      <w:pPr>
        <w:spacing w:before="0" w:after="0"/>
      </w:pPr>
      <w:r>
        <w:separator/>
      </w:r>
    </w:p>
  </w:footnote>
  <w:footnote w:type="continuationSeparator" w:id="0">
    <w:p w:rsidR="00AE6213" w:rsidRDefault="00AE6213"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213" w:rsidRDefault="00AE6213"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12246E"/>
    <w:multiLevelType w:val="hybridMultilevel"/>
    <w:tmpl w:val="297CC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0"/>
  </w:num>
  <w:num w:numId="9">
    <w:abstractNumId w:val="37"/>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3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1"/>
  </w:num>
  <w:num w:numId="20">
    <w:abstractNumId w:val="38"/>
  </w:num>
  <w:num w:numId="21">
    <w:abstractNumId w:val="6"/>
  </w:num>
  <w:num w:numId="22">
    <w:abstractNumId w:val="4"/>
  </w:num>
  <w:num w:numId="23">
    <w:abstractNumId w:val="9"/>
  </w:num>
  <w:num w:numId="24">
    <w:abstractNumId w:val="35"/>
  </w:num>
  <w:num w:numId="25">
    <w:abstractNumId w:val="34"/>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6"/>
  </w:num>
  <w:num w:numId="42">
    <w:abstractNumId w:val="26"/>
  </w:num>
  <w:num w:numId="4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0D03"/>
    <w:rsid w:val="00021CDA"/>
    <w:rsid w:val="00024DAA"/>
    <w:rsid w:val="0003042E"/>
    <w:rsid w:val="000350A0"/>
    <w:rsid w:val="00036299"/>
    <w:rsid w:val="00041BB2"/>
    <w:rsid w:val="00042435"/>
    <w:rsid w:val="00043533"/>
    <w:rsid w:val="00047BD4"/>
    <w:rsid w:val="00056A18"/>
    <w:rsid w:val="000600DD"/>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0F57FA"/>
    <w:rsid w:val="00111B17"/>
    <w:rsid w:val="0012205F"/>
    <w:rsid w:val="001316C4"/>
    <w:rsid w:val="00140700"/>
    <w:rsid w:val="00141123"/>
    <w:rsid w:val="00141500"/>
    <w:rsid w:val="001423D9"/>
    <w:rsid w:val="00143CED"/>
    <w:rsid w:val="001462E8"/>
    <w:rsid w:val="00152469"/>
    <w:rsid w:val="0015666E"/>
    <w:rsid w:val="0016287C"/>
    <w:rsid w:val="00163321"/>
    <w:rsid w:val="00163DF9"/>
    <w:rsid w:val="0016555A"/>
    <w:rsid w:val="00166F6E"/>
    <w:rsid w:val="00172561"/>
    <w:rsid w:val="0018415C"/>
    <w:rsid w:val="00192DC8"/>
    <w:rsid w:val="001A0E0A"/>
    <w:rsid w:val="001A3E7D"/>
    <w:rsid w:val="001A4BED"/>
    <w:rsid w:val="001C0C54"/>
    <w:rsid w:val="001D1766"/>
    <w:rsid w:val="001E0179"/>
    <w:rsid w:val="001E387B"/>
    <w:rsid w:val="001F33EF"/>
    <w:rsid w:val="001F5024"/>
    <w:rsid w:val="0020014E"/>
    <w:rsid w:val="002034BA"/>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023B"/>
    <w:rsid w:val="002D360D"/>
    <w:rsid w:val="002D5F64"/>
    <w:rsid w:val="002D75C8"/>
    <w:rsid w:val="002E0902"/>
    <w:rsid w:val="002E20DC"/>
    <w:rsid w:val="002E3167"/>
    <w:rsid w:val="002E65B5"/>
    <w:rsid w:val="002F39BE"/>
    <w:rsid w:val="00302FED"/>
    <w:rsid w:val="00303DC7"/>
    <w:rsid w:val="003050B7"/>
    <w:rsid w:val="003063F2"/>
    <w:rsid w:val="003067E0"/>
    <w:rsid w:val="00316066"/>
    <w:rsid w:val="00321B43"/>
    <w:rsid w:val="00325ABF"/>
    <w:rsid w:val="00330082"/>
    <w:rsid w:val="00332ED0"/>
    <w:rsid w:val="00333045"/>
    <w:rsid w:val="00333689"/>
    <w:rsid w:val="00333914"/>
    <w:rsid w:val="00364BE7"/>
    <w:rsid w:val="00374D9F"/>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873A2"/>
    <w:rsid w:val="0049077C"/>
    <w:rsid w:val="004920C0"/>
    <w:rsid w:val="0049434C"/>
    <w:rsid w:val="004961AB"/>
    <w:rsid w:val="00496BF6"/>
    <w:rsid w:val="004A1C27"/>
    <w:rsid w:val="004B0C9C"/>
    <w:rsid w:val="004B1AB4"/>
    <w:rsid w:val="004B5CC1"/>
    <w:rsid w:val="004C3E52"/>
    <w:rsid w:val="004D3C9D"/>
    <w:rsid w:val="004E42E5"/>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97617"/>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3300"/>
    <w:rsid w:val="006343DB"/>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0073"/>
    <w:rsid w:val="0071139F"/>
    <w:rsid w:val="0071174F"/>
    <w:rsid w:val="00715D89"/>
    <w:rsid w:val="0071692A"/>
    <w:rsid w:val="0071727F"/>
    <w:rsid w:val="007242A0"/>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102B8"/>
    <w:rsid w:val="00824023"/>
    <w:rsid w:val="008325DC"/>
    <w:rsid w:val="00837AF6"/>
    <w:rsid w:val="008434A0"/>
    <w:rsid w:val="008453B6"/>
    <w:rsid w:val="008458BD"/>
    <w:rsid w:val="00845EF7"/>
    <w:rsid w:val="00852C2F"/>
    <w:rsid w:val="00854AAA"/>
    <w:rsid w:val="00857239"/>
    <w:rsid w:val="008575C4"/>
    <w:rsid w:val="008613D9"/>
    <w:rsid w:val="00870882"/>
    <w:rsid w:val="0087581F"/>
    <w:rsid w:val="00876C93"/>
    <w:rsid w:val="008776A9"/>
    <w:rsid w:val="00880899"/>
    <w:rsid w:val="00882FD0"/>
    <w:rsid w:val="00893BE1"/>
    <w:rsid w:val="008A1A59"/>
    <w:rsid w:val="008A4CB0"/>
    <w:rsid w:val="008A607B"/>
    <w:rsid w:val="008A62A2"/>
    <w:rsid w:val="008B0D5D"/>
    <w:rsid w:val="008B115E"/>
    <w:rsid w:val="008B32A4"/>
    <w:rsid w:val="008B37D7"/>
    <w:rsid w:val="008B5919"/>
    <w:rsid w:val="008B678B"/>
    <w:rsid w:val="008C27BC"/>
    <w:rsid w:val="008C3029"/>
    <w:rsid w:val="008C4FE7"/>
    <w:rsid w:val="008D147C"/>
    <w:rsid w:val="008D2E3A"/>
    <w:rsid w:val="008E2201"/>
    <w:rsid w:val="008E5CE9"/>
    <w:rsid w:val="008F4CA6"/>
    <w:rsid w:val="008F694D"/>
    <w:rsid w:val="008F720B"/>
    <w:rsid w:val="00903AC0"/>
    <w:rsid w:val="0090589D"/>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0F03"/>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2CF0"/>
    <w:rsid w:val="00AE5F16"/>
    <w:rsid w:val="00AE6213"/>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11E"/>
    <w:rsid w:val="00C17D82"/>
    <w:rsid w:val="00C235B5"/>
    <w:rsid w:val="00C35E7B"/>
    <w:rsid w:val="00C40CF0"/>
    <w:rsid w:val="00C41EA3"/>
    <w:rsid w:val="00C42050"/>
    <w:rsid w:val="00C45A1D"/>
    <w:rsid w:val="00C55BDF"/>
    <w:rsid w:val="00C56C55"/>
    <w:rsid w:val="00C575DB"/>
    <w:rsid w:val="00C632D1"/>
    <w:rsid w:val="00C641E8"/>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55E4"/>
    <w:rsid w:val="00D2697B"/>
    <w:rsid w:val="00D332C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2F50"/>
    <w:rsid w:val="00DF35BA"/>
    <w:rsid w:val="00DF3E38"/>
    <w:rsid w:val="00DF6DDA"/>
    <w:rsid w:val="00E02B9E"/>
    <w:rsid w:val="00E030E9"/>
    <w:rsid w:val="00E07F2B"/>
    <w:rsid w:val="00E21958"/>
    <w:rsid w:val="00E228D7"/>
    <w:rsid w:val="00E25904"/>
    <w:rsid w:val="00E30AB1"/>
    <w:rsid w:val="00E31D88"/>
    <w:rsid w:val="00E31FA8"/>
    <w:rsid w:val="00E35E1A"/>
    <w:rsid w:val="00E3626B"/>
    <w:rsid w:val="00E4452F"/>
    <w:rsid w:val="00E4567F"/>
    <w:rsid w:val="00E45CBB"/>
    <w:rsid w:val="00E56D1D"/>
    <w:rsid w:val="00E671CF"/>
    <w:rsid w:val="00E70C13"/>
    <w:rsid w:val="00E70D92"/>
    <w:rsid w:val="00E70EAD"/>
    <w:rsid w:val="00E72826"/>
    <w:rsid w:val="00E77AE4"/>
    <w:rsid w:val="00E86E15"/>
    <w:rsid w:val="00E93491"/>
    <w:rsid w:val="00E93D5D"/>
    <w:rsid w:val="00E945CB"/>
    <w:rsid w:val="00E960F3"/>
    <w:rsid w:val="00EA271B"/>
    <w:rsid w:val="00EA57CB"/>
    <w:rsid w:val="00EA7733"/>
    <w:rsid w:val="00EB1178"/>
    <w:rsid w:val="00EB3718"/>
    <w:rsid w:val="00EB6190"/>
    <w:rsid w:val="00EB702A"/>
    <w:rsid w:val="00EC7EEC"/>
    <w:rsid w:val="00ED3610"/>
    <w:rsid w:val="00EE423E"/>
    <w:rsid w:val="00EE700A"/>
    <w:rsid w:val="00EF5000"/>
    <w:rsid w:val="00EF6CEC"/>
    <w:rsid w:val="00F01707"/>
    <w:rsid w:val="00F01FBF"/>
    <w:rsid w:val="00F04009"/>
    <w:rsid w:val="00F05AE9"/>
    <w:rsid w:val="00F073EF"/>
    <w:rsid w:val="00F143A4"/>
    <w:rsid w:val="00F20948"/>
    <w:rsid w:val="00F20F74"/>
    <w:rsid w:val="00F2199B"/>
    <w:rsid w:val="00F24E65"/>
    <w:rsid w:val="00F32746"/>
    <w:rsid w:val="00F34A5E"/>
    <w:rsid w:val="00F4215B"/>
    <w:rsid w:val="00F44AAC"/>
    <w:rsid w:val="00F54F9D"/>
    <w:rsid w:val="00F55444"/>
    <w:rsid w:val="00F55B52"/>
    <w:rsid w:val="00F6367F"/>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2EEE51D-FFA0-43FF-8E1D-5D62B155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0D929-EF63-4CAC-B559-21AF791A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39</TotalTime>
  <Pages>5</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Sandwich maker</dc:title>
  <dc:subject>Job dictionary</dc:subject>
  <dc:creator>Business SA</dc:creator>
  <cp:keywords>Carrying; pulling; stocking drinks; fillings; cool room; display cabinet; customer service; repetitive; sandwiches </cp:keywords>
  <dc:description>Early intervention; early medical assessment; work capacity; job analysis; job summary</dc:description>
  <cp:lastModifiedBy>Timoteo, Rudy</cp:lastModifiedBy>
  <cp:revision>8</cp:revision>
  <cp:lastPrinted>2014-05-14T01:51:00Z</cp:lastPrinted>
  <dcterms:created xsi:type="dcterms:W3CDTF">2015-09-02T03:18:00Z</dcterms:created>
  <dcterms:modified xsi:type="dcterms:W3CDTF">2016-04-04T06:01:00Z</dcterms:modified>
  <cp:category>Wholesale and retail</cp:category>
</cp:coreProperties>
</file>