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809" w:rsidRDefault="00270809" w:rsidP="00270809">
      <w:pPr>
        <w:pStyle w:val="Title1"/>
        <w:jc w:val="center"/>
        <w:rPr>
          <w:szCs w:val="120"/>
        </w:rPr>
      </w:pPr>
      <w:r>
        <w:rPr>
          <w:noProof/>
          <w:szCs w:val="120"/>
          <w:lang w:eastAsia="en-AU"/>
        </w:rPr>
        <w:drawing>
          <wp:anchor distT="0" distB="0" distL="114300" distR="114300" simplePos="0" relativeHeight="251665408" behindDoc="0" locked="0" layoutInCell="1" allowOverlap="1">
            <wp:simplePos x="0" y="0"/>
            <wp:positionH relativeFrom="column">
              <wp:posOffset>915670</wp:posOffset>
            </wp:positionH>
            <wp:positionV relativeFrom="paragraph">
              <wp:posOffset>2238375</wp:posOffset>
            </wp:positionV>
            <wp:extent cx="4237990" cy="3186430"/>
            <wp:effectExtent l="19050" t="0" r="0" b="0"/>
            <wp:wrapSquare wrapText="bothSides"/>
            <wp:docPr id="9" name="Picture 1" descr="photo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8.JPG"/>
                    <pic:cNvPicPr/>
                  </pic:nvPicPr>
                  <pic:blipFill>
                    <a:blip r:embed="rId8" cstate="print"/>
                    <a:stretch>
                      <a:fillRect/>
                    </a:stretch>
                  </pic:blipFill>
                  <pic:spPr>
                    <a:xfrm>
                      <a:off x="0" y="0"/>
                      <a:ext cx="4237990" cy="3186430"/>
                    </a:xfrm>
                    <a:prstGeom prst="rect">
                      <a:avLst/>
                    </a:prstGeom>
                  </pic:spPr>
                </pic:pic>
              </a:graphicData>
            </a:graphic>
          </wp:anchor>
        </w:drawing>
      </w:r>
      <w:r>
        <w:rPr>
          <w:szCs w:val="120"/>
        </w:rPr>
        <w:t>Early Medical Assessment</w:t>
      </w:r>
    </w:p>
    <w:p w:rsidR="00270809" w:rsidRPr="00B63D61" w:rsidRDefault="00270809" w:rsidP="00270809">
      <w:pPr>
        <w:pStyle w:val="Title1"/>
        <w:tabs>
          <w:tab w:val="left" w:pos="3192"/>
        </w:tabs>
        <w:jc w:val="center"/>
        <w:rPr>
          <w:sz w:val="36"/>
          <w:szCs w:val="36"/>
        </w:rPr>
      </w:pPr>
    </w:p>
    <w:p w:rsidR="00270809" w:rsidRDefault="00270809" w:rsidP="00270809">
      <w:pPr>
        <w:pStyle w:val="Title1"/>
        <w:jc w:val="center"/>
        <w:rPr>
          <w:sz w:val="56"/>
          <w:szCs w:val="56"/>
        </w:rPr>
      </w:pPr>
    </w:p>
    <w:p w:rsidR="00270809" w:rsidRDefault="00270809" w:rsidP="00270809">
      <w:pPr>
        <w:pStyle w:val="Title1"/>
        <w:rPr>
          <w:sz w:val="56"/>
          <w:szCs w:val="56"/>
        </w:rPr>
      </w:pPr>
    </w:p>
    <w:p w:rsidR="00270809" w:rsidRDefault="00270809" w:rsidP="00270809">
      <w:pPr>
        <w:pStyle w:val="Title1"/>
        <w:rPr>
          <w:sz w:val="56"/>
          <w:szCs w:val="56"/>
        </w:rPr>
      </w:pPr>
    </w:p>
    <w:p w:rsidR="00270809" w:rsidRDefault="00270809" w:rsidP="00270809">
      <w:pPr>
        <w:pStyle w:val="Title1"/>
        <w:rPr>
          <w:sz w:val="56"/>
          <w:szCs w:val="56"/>
        </w:rPr>
      </w:pPr>
    </w:p>
    <w:p w:rsidR="00270809" w:rsidRDefault="00270809" w:rsidP="00270809">
      <w:pPr>
        <w:pStyle w:val="Title1"/>
        <w:rPr>
          <w:sz w:val="56"/>
          <w:szCs w:val="56"/>
        </w:rPr>
      </w:pPr>
    </w:p>
    <w:p w:rsidR="00270809" w:rsidRPr="00BE4FC7" w:rsidRDefault="00270809" w:rsidP="00270809">
      <w:pPr>
        <w:pStyle w:val="Title1"/>
        <w:rPr>
          <w:sz w:val="8"/>
          <w:szCs w:val="8"/>
        </w:rPr>
      </w:pPr>
    </w:p>
    <w:p w:rsidR="00270809" w:rsidRDefault="00D7683B" w:rsidP="00270809">
      <w:pPr>
        <w:pStyle w:val="Title1"/>
        <w:rPr>
          <w:sz w:val="72"/>
          <w:szCs w:val="72"/>
        </w:rPr>
      </w:pPr>
      <w:r>
        <w:rPr>
          <w:sz w:val="72"/>
          <w:szCs w:val="72"/>
        </w:rPr>
        <w:t>Domestic Hardware and</w:t>
      </w:r>
    </w:p>
    <w:p w:rsidR="00270809" w:rsidRPr="00983062" w:rsidRDefault="00270809" w:rsidP="00270809">
      <w:pPr>
        <w:pStyle w:val="Title1"/>
        <w:rPr>
          <w:sz w:val="72"/>
          <w:szCs w:val="72"/>
        </w:rPr>
      </w:pPr>
      <w:r>
        <w:rPr>
          <w:sz w:val="72"/>
          <w:szCs w:val="72"/>
        </w:rPr>
        <w:t>Homeware Retailing</w:t>
      </w:r>
    </w:p>
    <w:p w:rsidR="00270809" w:rsidRPr="00CA3D03" w:rsidRDefault="00640974" w:rsidP="00270809">
      <w:pPr>
        <w:pStyle w:val="Title1"/>
        <w:rPr>
          <w:sz w:val="50"/>
          <w:szCs w:val="50"/>
        </w:rPr>
      </w:pPr>
      <w:r>
        <w:rPr>
          <w:sz w:val="50"/>
          <w:szCs w:val="50"/>
        </w:rPr>
        <w:t>Locksmith Service Technician</w:t>
      </w:r>
    </w:p>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D7683B" w:rsidRPr="00D7683B" w:rsidRDefault="00D7683B" w:rsidP="00D7683B">
      <w:pPr>
        <w:pStyle w:val="Title1"/>
        <w:rPr>
          <w:sz w:val="28"/>
          <w:szCs w:val="28"/>
        </w:rPr>
      </w:pPr>
      <w:r w:rsidRPr="00D7683B">
        <w:rPr>
          <w:sz w:val="28"/>
          <w:szCs w:val="28"/>
        </w:rPr>
        <w:lastRenderedPageBreak/>
        <w:t>Domestic Hardware and Homeware Retailing</w:t>
      </w:r>
    </w:p>
    <w:p w:rsidR="008C4FE7" w:rsidRDefault="00640974" w:rsidP="00CA3D03">
      <w:pPr>
        <w:pStyle w:val="Title3"/>
        <w:numPr>
          <w:ilvl w:val="0"/>
          <w:numId w:val="0"/>
        </w:numPr>
        <w:spacing w:before="0"/>
      </w:pPr>
      <w:r>
        <w:t>Locksmith Service Technician</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077"/>
        <w:gridCol w:w="3423"/>
        <w:gridCol w:w="2355"/>
      </w:tblGrid>
      <w:tr w:rsidR="000136E9" w:rsidTr="00983062">
        <w:trPr>
          <w:cantSplit/>
          <w:trHeight w:hRule="exact" w:val="8462"/>
        </w:trPr>
        <w:tc>
          <w:tcPr>
            <w:tcW w:w="2068" w:type="pct"/>
          </w:tcPr>
          <w:p w:rsidR="00470FB6" w:rsidRDefault="00B70A0B" w:rsidP="0056372D">
            <w:pPr>
              <w:pStyle w:val="tNormal"/>
              <w:jc w:val="center"/>
            </w:pPr>
            <w:r>
              <w:rPr>
                <w:noProof/>
              </w:rPr>
              <w:drawing>
                <wp:anchor distT="0" distB="0" distL="114300" distR="114300" simplePos="0" relativeHeight="251678720" behindDoc="0" locked="0" layoutInCell="1" allowOverlap="1">
                  <wp:simplePos x="0" y="0"/>
                  <wp:positionH relativeFrom="column">
                    <wp:posOffset>308610</wp:posOffset>
                  </wp:positionH>
                  <wp:positionV relativeFrom="paragraph">
                    <wp:posOffset>3721735</wp:posOffset>
                  </wp:positionV>
                  <wp:extent cx="1847850" cy="1562100"/>
                  <wp:effectExtent l="19050" t="0" r="0" b="0"/>
                  <wp:wrapSquare wrapText="bothSides"/>
                  <wp:docPr id="19" name="Picture 18" descr="photo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9.JPG"/>
                          <pic:cNvPicPr/>
                        </pic:nvPicPr>
                        <pic:blipFill>
                          <a:blip r:embed="rId10" cstate="print"/>
                          <a:srcRect l="10403" r="8391" b="27138"/>
                          <a:stretch>
                            <a:fillRect/>
                          </a:stretch>
                        </pic:blipFill>
                        <pic:spPr>
                          <a:xfrm>
                            <a:off x="0" y="0"/>
                            <a:ext cx="1847850" cy="1562100"/>
                          </a:xfrm>
                          <a:prstGeom prst="rect">
                            <a:avLst/>
                          </a:prstGeom>
                        </pic:spPr>
                      </pic:pic>
                    </a:graphicData>
                  </a:graphic>
                </wp:anchor>
              </w:drawing>
            </w:r>
            <w:r>
              <w:rPr>
                <w:noProof/>
              </w:rPr>
              <w:drawing>
                <wp:anchor distT="0" distB="0" distL="114300" distR="114300" simplePos="0" relativeHeight="251677696" behindDoc="0" locked="0" layoutInCell="1" allowOverlap="1">
                  <wp:simplePos x="0" y="0"/>
                  <wp:positionH relativeFrom="column">
                    <wp:posOffset>365760</wp:posOffset>
                  </wp:positionH>
                  <wp:positionV relativeFrom="paragraph">
                    <wp:posOffset>1897380</wp:posOffset>
                  </wp:positionV>
                  <wp:extent cx="1721485" cy="1835150"/>
                  <wp:effectExtent l="76200" t="0" r="50165" b="0"/>
                  <wp:wrapSquare wrapText="bothSides"/>
                  <wp:docPr id="18" name="Picture 17" descr="photo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10.JPG"/>
                          <pic:cNvPicPr/>
                        </pic:nvPicPr>
                        <pic:blipFill>
                          <a:blip r:embed="rId11" cstate="print"/>
                          <a:srcRect l="20662" r="9872"/>
                          <a:stretch>
                            <a:fillRect/>
                          </a:stretch>
                        </pic:blipFill>
                        <pic:spPr>
                          <a:xfrm rot="5400000">
                            <a:off x="0" y="0"/>
                            <a:ext cx="1721485" cy="1835150"/>
                          </a:xfrm>
                          <a:prstGeom prst="rect">
                            <a:avLst/>
                          </a:prstGeom>
                        </pic:spPr>
                      </pic:pic>
                    </a:graphicData>
                  </a:graphic>
                </wp:anchor>
              </w:drawing>
            </w:r>
            <w:r>
              <w:rPr>
                <w:noProof/>
              </w:rPr>
              <w:drawing>
                <wp:anchor distT="0" distB="0" distL="114300" distR="114300" simplePos="0" relativeHeight="251676672" behindDoc="0" locked="0" layoutInCell="1" allowOverlap="1">
                  <wp:simplePos x="0" y="0"/>
                  <wp:positionH relativeFrom="column">
                    <wp:posOffset>289560</wp:posOffset>
                  </wp:positionH>
                  <wp:positionV relativeFrom="paragraph">
                    <wp:posOffset>60325</wp:posOffset>
                  </wp:positionV>
                  <wp:extent cx="1869440" cy="1836420"/>
                  <wp:effectExtent l="0" t="19050" r="0" b="0"/>
                  <wp:wrapSquare wrapText="bothSides"/>
                  <wp:docPr id="16" name="Picture 15" descr="ph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2.JPG"/>
                          <pic:cNvPicPr/>
                        </pic:nvPicPr>
                        <pic:blipFill>
                          <a:blip r:embed="rId12" cstate="print"/>
                          <a:srcRect l="11223" r="12500"/>
                          <a:stretch>
                            <a:fillRect/>
                          </a:stretch>
                        </pic:blipFill>
                        <pic:spPr>
                          <a:xfrm rot="5400000">
                            <a:off x="0" y="0"/>
                            <a:ext cx="1869440" cy="1836420"/>
                          </a:xfrm>
                          <a:prstGeom prst="rect">
                            <a:avLst/>
                          </a:prstGeom>
                        </pic:spPr>
                      </pic:pic>
                    </a:graphicData>
                  </a:graphic>
                </wp:anchor>
              </w:drawing>
            </w:r>
          </w:p>
        </w:tc>
        <w:tc>
          <w:tcPr>
            <w:tcW w:w="1736" w:type="pct"/>
          </w:tcPr>
          <w:p w:rsidR="00470FB6" w:rsidRDefault="009D66ED" w:rsidP="00B63D61">
            <w:pPr>
              <w:pStyle w:val="tBullet1000"/>
              <w:numPr>
                <w:ilvl w:val="0"/>
                <w:numId w:val="0"/>
              </w:numPr>
              <w:ind w:left="284" w:hanging="284"/>
            </w:pPr>
            <w:r>
              <w:rPr>
                <w:b/>
              </w:rPr>
              <w:t xml:space="preserve">Manual </w:t>
            </w:r>
            <w:r w:rsidR="00AF4E53">
              <w:rPr>
                <w:b/>
              </w:rPr>
              <w:t>W</w:t>
            </w:r>
            <w:r w:rsidR="00B70A0B">
              <w:rPr>
                <w:b/>
              </w:rPr>
              <w:t xml:space="preserve">orkshop </w:t>
            </w:r>
            <w:r w:rsidR="00AF4E53">
              <w:rPr>
                <w:b/>
              </w:rPr>
              <w:t>H</w:t>
            </w:r>
            <w:r>
              <w:rPr>
                <w:b/>
              </w:rPr>
              <w:t>andling</w:t>
            </w:r>
          </w:p>
          <w:p w:rsidR="00B70A0B" w:rsidRPr="009B363E" w:rsidRDefault="00B70A0B" w:rsidP="009B363E">
            <w:pPr>
              <w:pStyle w:val="tBullet1000"/>
            </w:pPr>
            <w:r w:rsidRPr="009B363E">
              <w:t>Occas</w:t>
            </w:r>
            <w:r w:rsidR="00A42BC1" w:rsidRPr="009B363E">
              <w:t>ional safe stock transportation</w:t>
            </w:r>
            <w:r w:rsidRPr="009B363E">
              <w:t xml:space="preserve"> </w:t>
            </w:r>
            <w:r w:rsidR="00A42BC1" w:rsidRPr="009B363E">
              <w:t>(</w:t>
            </w:r>
            <w:r w:rsidRPr="009B363E">
              <w:t>up to 80kg</w:t>
            </w:r>
            <w:r w:rsidR="00A42BC1" w:rsidRPr="009B363E">
              <w:t>)</w:t>
            </w:r>
          </w:p>
          <w:p w:rsidR="00B70A0B" w:rsidRPr="009B363E" w:rsidRDefault="00A42BC1" w:rsidP="009B363E">
            <w:pPr>
              <w:pStyle w:val="tBullet1000"/>
            </w:pPr>
            <w:r w:rsidRPr="009B363E">
              <w:t xml:space="preserve">Via sack truck </w:t>
            </w:r>
          </w:p>
          <w:p w:rsidR="0072255C" w:rsidRPr="009B363E" w:rsidRDefault="00B70A0B" w:rsidP="009B363E">
            <w:pPr>
              <w:pStyle w:val="tBullet1000"/>
            </w:pPr>
            <w:r w:rsidRPr="009B363E">
              <w:t>Via manual lifting (doors removed for 60kg/2 person lift)</w:t>
            </w:r>
          </w:p>
          <w:p w:rsidR="0072255C" w:rsidRPr="009B363E" w:rsidRDefault="0072255C" w:rsidP="009B363E">
            <w:pPr>
              <w:pStyle w:val="tBullet1000"/>
            </w:pPr>
            <w:r w:rsidRPr="009B363E">
              <w:t>Occasional transportation and maneuvering of pallets of stock (up to 400kg), with the assistance of a trolley</w:t>
            </w:r>
          </w:p>
          <w:p w:rsidR="00376E4C" w:rsidRPr="009B363E" w:rsidRDefault="00B70A0B" w:rsidP="009B363E">
            <w:pPr>
              <w:pStyle w:val="tBullet1000"/>
            </w:pPr>
            <w:r w:rsidRPr="009B363E">
              <w:t>Frequent a</w:t>
            </w:r>
            <w:r w:rsidR="00376E4C" w:rsidRPr="009B363E">
              <w:t>ccess</w:t>
            </w:r>
            <w:r w:rsidR="00AF4E53" w:rsidRPr="009B363E">
              <w:t>ing</w:t>
            </w:r>
            <w:r w:rsidR="00376E4C" w:rsidRPr="009B363E">
              <w:t xml:space="preserve"> </w:t>
            </w:r>
            <w:r w:rsidRPr="009B363E">
              <w:t xml:space="preserve">of </w:t>
            </w:r>
            <w:r w:rsidR="00376E4C" w:rsidRPr="009B363E">
              <w:t>small items (keys</w:t>
            </w:r>
            <w:r w:rsidRPr="009B363E">
              <w:t xml:space="preserve"> and spare parts</w:t>
            </w:r>
            <w:r w:rsidR="00376E4C" w:rsidRPr="009B363E">
              <w:t xml:space="preserve">) </w:t>
            </w:r>
            <w:r w:rsidRPr="009B363E">
              <w:t>up to 5kg, stored from floor to 22</w:t>
            </w:r>
            <w:r w:rsidR="00376E4C" w:rsidRPr="009B363E">
              <w:t>00mm</w:t>
            </w:r>
            <w:r w:rsidRPr="009B363E">
              <w:t>,</w:t>
            </w:r>
            <w:r w:rsidR="00376E4C" w:rsidRPr="009B363E">
              <w:t xml:space="preserve"> requiring </w:t>
            </w:r>
            <w:r w:rsidRPr="009B363E">
              <w:t>some bending,</w:t>
            </w:r>
            <w:r w:rsidR="00376E4C" w:rsidRPr="009B363E">
              <w:t xml:space="preserve"> </w:t>
            </w:r>
            <w:r w:rsidRPr="009B363E">
              <w:t xml:space="preserve">squatting and </w:t>
            </w:r>
            <w:r w:rsidR="00376E4C" w:rsidRPr="009B363E">
              <w:t xml:space="preserve">overhead reaching </w:t>
            </w:r>
            <w:r w:rsidRPr="009B363E">
              <w:t>(stepping stool available)</w:t>
            </w:r>
          </w:p>
          <w:p w:rsidR="00376E4C" w:rsidRPr="009B363E" w:rsidRDefault="00376E4C" w:rsidP="009B363E">
            <w:pPr>
              <w:pStyle w:val="tBullet1000"/>
            </w:pPr>
            <w:r w:rsidRPr="009B363E">
              <w:t>Firm wrist and slight shoulder movements required for operating knobs on key cutting machinery</w:t>
            </w:r>
          </w:p>
          <w:p w:rsidR="006F6083" w:rsidRPr="003E249E" w:rsidRDefault="006F6083" w:rsidP="009B363E">
            <w:pPr>
              <w:pStyle w:val="tBullet1000"/>
            </w:pPr>
            <w:r w:rsidRPr="009B363E">
              <w:t xml:space="preserve">Frequent </w:t>
            </w:r>
            <w:r w:rsidR="00B70A0B" w:rsidRPr="009B363E">
              <w:t>handling of</w:t>
            </w:r>
            <w:r w:rsidRPr="009B363E">
              <w:t xml:space="preserve"> </w:t>
            </w:r>
            <w:r w:rsidR="00B70A0B" w:rsidRPr="009B363E">
              <w:t>small items (e.g. keys)</w:t>
            </w:r>
          </w:p>
        </w:tc>
        <w:tc>
          <w:tcPr>
            <w:tcW w:w="1195" w:type="pct"/>
          </w:tcPr>
          <w:p w:rsidR="00470FB6" w:rsidRDefault="00470FB6" w:rsidP="0069267D">
            <w:pPr>
              <w:pStyle w:val="tHeading"/>
            </w:pPr>
            <w:r>
              <w:t>Doctor Approval</w:t>
            </w:r>
          </w:p>
          <w:p w:rsidR="00470FB6" w:rsidRPr="00470FB6" w:rsidRDefault="00C51D57"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B15CDD">
              <w:rPr>
                <w:b w:val="0"/>
              </w:rPr>
            </w:r>
            <w:r w:rsidR="00B15CDD">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B15CDD">
              <w:rPr>
                <w:b w:val="0"/>
              </w:rPr>
            </w:r>
            <w:r w:rsidR="00B15CDD">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0136E9" w:rsidTr="009830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72"/>
        </w:trPr>
        <w:tc>
          <w:tcPr>
            <w:tcW w:w="2068" w:type="pct"/>
          </w:tcPr>
          <w:p w:rsidR="00470FB6" w:rsidRDefault="00B15CDD" w:rsidP="006366A0">
            <w:pPr>
              <w:pStyle w:val="tNormal"/>
              <w:jc w:val="center"/>
            </w:pPr>
            <w:r>
              <w:rPr>
                <w:rFonts w:ascii="Times New Roman" w:hAnsi="Times New Roman"/>
                <w:sz w:val="24"/>
              </w:rPr>
              <w:pict>
                <v:oval id="_x0000_s1026" style="position:absolute;left:0;text-align:left;margin-left:94.2pt;margin-top:41.25pt;width:22.4pt;height:21.2pt;z-index:251680768;mso-position-horizontal-relative:text;mso-position-vertical-relative:text">
                  <v:fill color2="fill darken(118)" rotate="t" method="linear sigma" focus="-50%" type="gradient"/>
                </v:oval>
              </w:pict>
            </w:r>
            <w:r w:rsidR="00372B19">
              <w:rPr>
                <w:noProof/>
              </w:rPr>
              <w:drawing>
                <wp:anchor distT="0" distB="0" distL="114300" distR="114300" simplePos="0" relativeHeight="251670528" behindDoc="0" locked="0" layoutInCell="1" allowOverlap="1">
                  <wp:simplePos x="0" y="0"/>
                  <wp:positionH relativeFrom="column">
                    <wp:posOffset>27305</wp:posOffset>
                  </wp:positionH>
                  <wp:positionV relativeFrom="paragraph">
                    <wp:posOffset>88265</wp:posOffset>
                  </wp:positionV>
                  <wp:extent cx="2392680" cy="1794510"/>
                  <wp:effectExtent l="19050" t="0" r="7620" b="0"/>
                  <wp:wrapSquare wrapText="bothSides"/>
                  <wp:docPr id="5" name="Picture 1" descr="pho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1.JPG"/>
                          <pic:cNvPicPr/>
                        </pic:nvPicPr>
                        <pic:blipFill>
                          <a:blip r:embed="rId13" cstate="print"/>
                          <a:stretch>
                            <a:fillRect/>
                          </a:stretch>
                        </pic:blipFill>
                        <pic:spPr>
                          <a:xfrm>
                            <a:off x="0" y="0"/>
                            <a:ext cx="2392680" cy="1794510"/>
                          </a:xfrm>
                          <a:prstGeom prst="rect">
                            <a:avLst/>
                          </a:prstGeom>
                        </pic:spPr>
                      </pic:pic>
                    </a:graphicData>
                  </a:graphic>
                </wp:anchor>
              </w:drawing>
            </w:r>
          </w:p>
        </w:tc>
        <w:tc>
          <w:tcPr>
            <w:tcW w:w="1736" w:type="pct"/>
          </w:tcPr>
          <w:p w:rsidR="00470FB6" w:rsidRDefault="00AF4E53" w:rsidP="006366A0">
            <w:pPr>
              <w:pStyle w:val="tBullet1000"/>
              <w:numPr>
                <w:ilvl w:val="0"/>
                <w:numId w:val="0"/>
              </w:numPr>
              <w:ind w:left="284" w:hanging="284"/>
            </w:pPr>
            <w:r>
              <w:rPr>
                <w:b/>
              </w:rPr>
              <w:t>Customer S</w:t>
            </w:r>
            <w:r w:rsidR="00372B19">
              <w:rPr>
                <w:b/>
              </w:rPr>
              <w:t>ervice</w:t>
            </w:r>
          </w:p>
          <w:p w:rsidR="00372B19" w:rsidRPr="009B363E" w:rsidRDefault="00372B19" w:rsidP="009B363E">
            <w:pPr>
              <w:pStyle w:val="tBullet1000"/>
            </w:pPr>
            <w:r w:rsidRPr="009B363E">
              <w:t>Stand</w:t>
            </w:r>
            <w:r w:rsidR="00AF4E53" w:rsidRPr="009B363E">
              <w:t>ing</w:t>
            </w:r>
            <w:r w:rsidRPr="009B363E">
              <w:t xml:space="preserve"> </w:t>
            </w:r>
            <w:r w:rsidR="00AF4E53" w:rsidRPr="009B363E">
              <w:rPr>
                <w:szCs w:val="18"/>
              </w:rPr>
              <w:t>at  front counter</w:t>
            </w:r>
            <w:r w:rsidR="00AF4E53" w:rsidRPr="009B363E">
              <w:t xml:space="preserve"> </w:t>
            </w:r>
            <w:r w:rsidRPr="009B363E">
              <w:t>and discuss</w:t>
            </w:r>
            <w:r w:rsidR="00AF4E53" w:rsidRPr="009B363E">
              <w:t>ing</w:t>
            </w:r>
            <w:r w:rsidRPr="009B363E">
              <w:t xml:space="preserve"> product </w:t>
            </w:r>
          </w:p>
          <w:p w:rsidR="00376E4C" w:rsidRPr="009B363E" w:rsidRDefault="00372B19" w:rsidP="009B363E">
            <w:pPr>
              <w:pStyle w:val="tBullet1000"/>
              <w:rPr>
                <w:szCs w:val="18"/>
              </w:rPr>
            </w:pPr>
            <w:r w:rsidRPr="009B363E">
              <w:rPr>
                <w:szCs w:val="18"/>
              </w:rPr>
              <w:t>Handl</w:t>
            </w:r>
            <w:r w:rsidR="00AF4E53" w:rsidRPr="009B363E">
              <w:rPr>
                <w:szCs w:val="18"/>
              </w:rPr>
              <w:t>ing</w:t>
            </w:r>
            <w:r w:rsidRPr="009B363E">
              <w:rPr>
                <w:szCs w:val="18"/>
              </w:rPr>
              <w:t xml:space="preserve"> stock (</w:t>
            </w:r>
            <w:r w:rsidR="00376E4C" w:rsidRPr="009B363E">
              <w:rPr>
                <w:szCs w:val="18"/>
              </w:rPr>
              <w:t>keys only</w:t>
            </w:r>
            <w:r w:rsidR="00AF4E53" w:rsidRPr="009B363E">
              <w:rPr>
                <w:szCs w:val="18"/>
              </w:rPr>
              <w:t>) from w</w:t>
            </w:r>
            <w:r w:rsidRPr="009B363E">
              <w:rPr>
                <w:szCs w:val="18"/>
              </w:rPr>
              <w:t>all</w:t>
            </w:r>
            <w:r w:rsidR="00376E4C" w:rsidRPr="009B363E">
              <w:rPr>
                <w:szCs w:val="18"/>
              </w:rPr>
              <w:t xml:space="preserve"> hangers fr</w:t>
            </w:r>
            <w:r w:rsidR="004037A4" w:rsidRPr="009B363E">
              <w:rPr>
                <w:szCs w:val="18"/>
              </w:rPr>
              <w:t xml:space="preserve">om bench height </w:t>
            </w:r>
            <w:r w:rsidR="001E09B1" w:rsidRPr="009B363E">
              <w:rPr>
                <w:szCs w:val="18"/>
              </w:rPr>
              <w:t>up to 22</w:t>
            </w:r>
            <w:r w:rsidR="00376E4C" w:rsidRPr="009B363E">
              <w:rPr>
                <w:szCs w:val="18"/>
              </w:rPr>
              <w:t>00m</w:t>
            </w:r>
            <w:r w:rsidRPr="009B363E">
              <w:rPr>
                <w:szCs w:val="18"/>
              </w:rPr>
              <w:t>m</w:t>
            </w:r>
            <w:r w:rsidR="00A3503B" w:rsidRPr="009B363E">
              <w:rPr>
                <w:szCs w:val="18"/>
              </w:rPr>
              <w:t xml:space="preserve"> </w:t>
            </w:r>
          </w:p>
          <w:p w:rsidR="00376E4C" w:rsidRPr="009B363E" w:rsidRDefault="00376E4C" w:rsidP="009B363E">
            <w:pPr>
              <w:pStyle w:val="tBullet1000"/>
              <w:rPr>
                <w:szCs w:val="18"/>
              </w:rPr>
            </w:pPr>
            <w:r w:rsidRPr="009B363E">
              <w:rPr>
                <w:szCs w:val="18"/>
              </w:rPr>
              <w:t>Occasional writing</w:t>
            </w:r>
          </w:p>
          <w:p w:rsidR="00A3503B" w:rsidRPr="009B363E" w:rsidRDefault="00A3503B" w:rsidP="009B363E">
            <w:pPr>
              <w:pStyle w:val="tBullet1000"/>
              <w:rPr>
                <w:szCs w:val="18"/>
              </w:rPr>
            </w:pPr>
            <w:r w:rsidRPr="009B363E">
              <w:rPr>
                <w:szCs w:val="18"/>
              </w:rPr>
              <w:t>Bilaterally grasp</w:t>
            </w:r>
            <w:r w:rsidR="00AF4E53" w:rsidRPr="009B363E">
              <w:rPr>
                <w:szCs w:val="18"/>
              </w:rPr>
              <w:t>ing</w:t>
            </w:r>
            <w:r w:rsidRPr="009B363E">
              <w:rPr>
                <w:szCs w:val="18"/>
              </w:rPr>
              <w:t xml:space="preserve"> items </w:t>
            </w:r>
          </w:p>
          <w:p w:rsidR="005D620A" w:rsidRPr="00372B19" w:rsidRDefault="00AF4E53" w:rsidP="009B363E">
            <w:pPr>
              <w:pStyle w:val="tBullet1000"/>
            </w:pPr>
            <w:r w:rsidRPr="009B363E">
              <w:rPr>
                <w:szCs w:val="18"/>
              </w:rPr>
              <w:t>Handling</w:t>
            </w:r>
            <w:r w:rsidR="00A3503B" w:rsidRPr="009B363E">
              <w:rPr>
                <w:szCs w:val="18"/>
              </w:rPr>
              <w:t xml:space="preserve"> cash or EFT</w:t>
            </w:r>
          </w:p>
        </w:tc>
        <w:tc>
          <w:tcPr>
            <w:tcW w:w="1195" w:type="pct"/>
          </w:tcPr>
          <w:p w:rsidR="00470FB6" w:rsidRDefault="00470FB6" w:rsidP="006366A0">
            <w:pPr>
              <w:pStyle w:val="tHeading"/>
            </w:pPr>
            <w:r>
              <w:t>Doctor Approval</w:t>
            </w:r>
          </w:p>
          <w:p w:rsidR="00470FB6" w:rsidRPr="00470FB6" w:rsidRDefault="00C51D57" w:rsidP="006366A0">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B15CDD">
              <w:rPr>
                <w:b w:val="0"/>
              </w:rPr>
            </w:r>
            <w:r w:rsidR="00B15CDD">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B15CDD">
              <w:rPr>
                <w:b w:val="0"/>
              </w:rPr>
            </w:r>
            <w:r w:rsidR="00B15CDD">
              <w:rPr>
                <w:b w:val="0"/>
              </w:rPr>
              <w:fldChar w:fldCharType="separate"/>
            </w:r>
            <w:r w:rsidRPr="00470FB6">
              <w:rPr>
                <w:b w:val="0"/>
              </w:rPr>
              <w:fldChar w:fldCharType="end"/>
            </w:r>
            <w:r w:rsidR="00470FB6" w:rsidRPr="00470FB6">
              <w:rPr>
                <w:b w:val="0"/>
              </w:rPr>
              <w:t xml:space="preserve"> No</w:t>
            </w:r>
          </w:p>
          <w:p w:rsidR="00470FB6" w:rsidRPr="000B0521" w:rsidRDefault="00470FB6" w:rsidP="006366A0">
            <w:pPr>
              <w:pStyle w:val="tHeading"/>
            </w:pPr>
            <w:r w:rsidRPr="00470FB6">
              <w:rPr>
                <w:b w:val="0"/>
              </w:rPr>
              <w:t>Comments:</w:t>
            </w:r>
            <w:r w:rsidR="00C10F0A">
              <w:rPr>
                <w:rFonts w:ascii="Times New Roman" w:hAnsi="Times New Roman"/>
                <w:sz w:val="24"/>
              </w:rPr>
              <w:t xml:space="preserve"> </w:t>
            </w:r>
          </w:p>
        </w:tc>
      </w:tr>
      <w:tr w:rsidR="000136E9" w:rsidTr="00567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092"/>
        </w:trPr>
        <w:tc>
          <w:tcPr>
            <w:tcW w:w="2068" w:type="pct"/>
          </w:tcPr>
          <w:p w:rsidR="00DB3066" w:rsidRDefault="00567040" w:rsidP="00D27AAF">
            <w:pPr>
              <w:pStyle w:val="tNormal"/>
              <w:jc w:val="center"/>
            </w:pPr>
            <w:r>
              <w:rPr>
                <w:noProof/>
              </w:rPr>
              <w:lastRenderedPageBreak/>
              <w:drawing>
                <wp:anchor distT="0" distB="0" distL="114300" distR="114300" simplePos="0" relativeHeight="251675648" behindDoc="0" locked="0" layoutInCell="1" allowOverlap="1">
                  <wp:simplePos x="0" y="0"/>
                  <wp:positionH relativeFrom="column">
                    <wp:posOffset>20320</wp:posOffset>
                  </wp:positionH>
                  <wp:positionV relativeFrom="paragraph">
                    <wp:posOffset>2110105</wp:posOffset>
                  </wp:positionV>
                  <wp:extent cx="2447925" cy="2195195"/>
                  <wp:effectExtent l="0" t="133350" r="0" b="109855"/>
                  <wp:wrapSquare wrapText="bothSides"/>
                  <wp:docPr id="14" name="Picture 13" descr="phot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7.JPG"/>
                          <pic:cNvPicPr/>
                        </pic:nvPicPr>
                        <pic:blipFill>
                          <a:blip r:embed="rId14" cstate="print"/>
                          <a:stretch>
                            <a:fillRect/>
                          </a:stretch>
                        </pic:blipFill>
                        <pic:spPr>
                          <a:xfrm rot="5400000">
                            <a:off x="0" y="0"/>
                            <a:ext cx="2447925" cy="2195195"/>
                          </a:xfrm>
                          <a:prstGeom prst="rect">
                            <a:avLst/>
                          </a:prstGeom>
                        </pic:spPr>
                      </pic:pic>
                    </a:graphicData>
                  </a:graphic>
                </wp:anchor>
              </w:drawing>
            </w:r>
            <w:r>
              <w:rPr>
                <w:noProof/>
              </w:rPr>
              <w:drawing>
                <wp:anchor distT="0" distB="0" distL="114300" distR="114300" simplePos="0" relativeHeight="251674624" behindDoc="0" locked="0" layoutInCell="1" allowOverlap="1">
                  <wp:simplePos x="0" y="0"/>
                  <wp:positionH relativeFrom="column">
                    <wp:posOffset>1270</wp:posOffset>
                  </wp:positionH>
                  <wp:positionV relativeFrom="paragraph">
                    <wp:posOffset>61595</wp:posOffset>
                  </wp:positionV>
                  <wp:extent cx="2452370" cy="1835150"/>
                  <wp:effectExtent l="19050" t="0" r="5080" b="0"/>
                  <wp:wrapSquare wrapText="bothSides"/>
                  <wp:docPr id="8" name="Picture 7" descr="phot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3.JPG"/>
                          <pic:cNvPicPr/>
                        </pic:nvPicPr>
                        <pic:blipFill>
                          <a:blip r:embed="rId15" cstate="print"/>
                          <a:stretch>
                            <a:fillRect/>
                          </a:stretch>
                        </pic:blipFill>
                        <pic:spPr>
                          <a:xfrm>
                            <a:off x="0" y="0"/>
                            <a:ext cx="2452370" cy="1835150"/>
                          </a:xfrm>
                          <a:prstGeom prst="rect">
                            <a:avLst/>
                          </a:prstGeom>
                        </pic:spPr>
                      </pic:pic>
                    </a:graphicData>
                  </a:graphic>
                </wp:anchor>
              </w:drawing>
            </w:r>
          </w:p>
        </w:tc>
        <w:tc>
          <w:tcPr>
            <w:tcW w:w="1736" w:type="pct"/>
          </w:tcPr>
          <w:p w:rsidR="00560B66" w:rsidRDefault="009C0FBF" w:rsidP="00560B66">
            <w:pPr>
              <w:pStyle w:val="tBullet1000"/>
              <w:numPr>
                <w:ilvl w:val="0"/>
                <w:numId w:val="0"/>
              </w:numPr>
              <w:ind w:left="284" w:hanging="284"/>
            </w:pPr>
            <w:r>
              <w:rPr>
                <w:b/>
              </w:rPr>
              <w:t>Workbench</w:t>
            </w:r>
            <w:r w:rsidR="00AF4E53">
              <w:rPr>
                <w:b/>
              </w:rPr>
              <w:t xml:space="preserve"> D</w:t>
            </w:r>
            <w:r w:rsidR="00560B66">
              <w:rPr>
                <w:b/>
              </w:rPr>
              <w:t>uties</w:t>
            </w:r>
          </w:p>
          <w:p w:rsidR="009C04D4" w:rsidRPr="009B363E" w:rsidRDefault="00931D27" w:rsidP="009B363E">
            <w:pPr>
              <w:pStyle w:val="tBullet1000"/>
            </w:pPr>
            <w:r w:rsidRPr="009B363E">
              <w:t>S</w:t>
            </w:r>
            <w:r w:rsidR="009C04D4" w:rsidRPr="009B363E">
              <w:t xml:space="preserve">tanding position </w:t>
            </w:r>
            <w:r w:rsidRPr="009B363E">
              <w:t xml:space="preserve">at bench </w:t>
            </w:r>
            <w:r w:rsidR="009C04D4" w:rsidRPr="009B363E">
              <w:t xml:space="preserve">with </w:t>
            </w:r>
            <w:r w:rsidR="001E09B1" w:rsidRPr="009B363E">
              <w:t>some light stooping required</w:t>
            </w:r>
          </w:p>
          <w:p w:rsidR="00376E4C" w:rsidRPr="009B363E" w:rsidRDefault="00376E4C" w:rsidP="009B363E">
            <w:pPr>
              <w:pStyle w:val="tBullet1000"/>
            </w:pPr>
            <w:r w:rsidRPr="009B363E">
              <w:t>Frequent handling of small parts (e.g. keys</w:t>
            </w:r>
            <w:r w:rsidR="001E09B1" w:rsidRPr="009B363E">
              <w:t xml:space="preserve"> and tools</w:t>
            </w:r>
            <w:r w:rsidRPr="009B363E">
              <w:t xml:space="preserve">) </w:t>
            </w:r>
          </w:p>
          <w:p w:rsidR="00376E4C" w:rsidRPr="009B363E" w:rsidRDefault="00376E4C" w:rsidP="009B363E">
            <w:pPr>
              <w:pStyle w:val="tBullet1000"/>
            </w:pPr>
            <w:r w:rsidRPr="009B363E">
              <w:t>Apply</w:t>
            </w:r>
            <w:r w:rsidR="00AF4E53" w:rsidRPr="009B363E">
              <w:t>ing</w:t>
            </w:r>
            <w:r w:rsidRPr="009B363E">
              <w:t xml:space="preserve"> a firm wrist and slight movement of the shoulder to operate knobs on key cutting machinery</w:t>
            </w:r>
          </w:p>
          <w:p w:rsidR="009C04D4" w:rsidRPr="009B363E" w:rsidRDefault="009C04D4" w:rsidP="009B363E">
            <w:pPr>
              <w:pStyle w:val="tBullet1000"/>
            </w:pPr>
            <w:r w:rsidRPr="009B363E">
              <w:t>Seated position for cutting of keys</w:t>
            </w:r>
          </w:p>
          <w:p w:rsidR="00D27AAF" w:rsidRPr="003E249E" w:rsidRDefault="00376E4C" w:rsidP="009B363E">
            <w:pPr>
              <w:pStyle w:val="tBullet1000"/>
            </w:pPr>
            <w:r w:rsidRPr="009B363E">
              <w:t>Key cutting</w:t>
            </w:r>
            <w:r w:rsidR="009C04D4" w:rsidRPr="009B363E">
              <w:t>, undertaken</w:t>
            </w:r>
            <w:r w:rsidRPr="009B363E">
              <w:t xml:space="preserve"> with the use</w:t>
            </w:r>
            <w:r w:rsidR="00560B66" w:rsidRPr="009B363E">
              <w:t xml:space="preserve"> of both hearing and eye protection</w:t>
            </w:r>
          </w:p>
        </w:tc>
        <w:tc>
          <w:tcPr>
            <w:tcW w:w="1195" w:type="pct"/>
          </w:tcPr>
          <w:p w:rsidR="00DB3066" w:rsidRDefault="00DB3066" w:rsidP="006366A0">
            <w:pPr>
              <w:pStyle w:val="tHeading"/>
            </w:pPr>
            <w:r>
              <w:t>Doctor Approval</w:t>
            </w:r>
          </w:p>
          <w:p w:rsidR="00DB3066" w:rsidRPr="00470FB6" w:rsidRDefault="00C51D57" w:rsidP="006366A0">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DB3066" w:rsidRPr="00470FB6">
              <w:rPr>
                <w:b w:val="0"/>
              </w:rPr>
              <w:instrText xml:space="preserve"> FORMCHECKBOX </w:instrText>
            </w:r>
            <w:r w:rsidR="00B15CDD">
              <w:rPr>
                <w:b w:val="0"/>
              </w:rPr>
            </w:r>
            <w:r w:rsidR="00B15CDD">
              <w:rPr>
                <w:b w:val="0"/>
              </w:rPr>
              <w:fldChar w:fldCharType="separate"/>
            </w:r>
            <w:r w:rsidRPr="00470FB6">
              <w:rPr>
                <w:b w:val="0"/>
              </w:rPr>
              <w:fldChar w:fldCharType="end"/>
            </w:r>
            <w:r w:rsidR="00DB3066" w:rsidRPr="00470FB6">
              <w:rPr>
                <w:b w:val="0"/>
              </w:rPr>
              <w:t xml:space="preserve"> Yes</w:t>
            </w:r>
            <w:r w:rsidR="00DB3066" w:rsidRPr="00470FB6">
              <w:rPr>
                <w:b w:val="0"/>
              </w:rPr>
              <w:tab/>
            </w:r>
            <w:r w:rsidRPr="00470FB6">
              <w:rPr>
                <w:b w:val="0"/>
              </w:rPr>
              <w:fldChar w:fldCharType="begin">
                <w:ffData>
                  <w:name w:val="Check2"/>
                  <w:enabled/>
                  <w:calcOnExit w:val="0"/>
                  <w:checkBox>
                    <w:sizeAuto/>
                    <w:default w:val="0"/>
                  </w:checkBox>
                </w:ffData>
              </w:fldChar>
            </w:r>
            <w:r w:rsidR="00DB3066" w:rsidRPr="00470FB6">
              <w:rPr>
                <w:b w:val="0"/>
              </w:rPr>
              <w:instrText xml:space="preserve"> FORMCHECKBOX </w:instrText>
            </w:r>
            <w:r w:rsidR="00B15CDD">
              <w:rPr>
                <w:b w:val="0"/>
              </w:rPr>
            </w:r>
            <w:r w:rsidR="00B15CDD">
              <w:rPr>
                <w:b w:val="0"/>
              </w:rPr>
              <w:fldChar w:fldCharType="separate"/>
            </w:r>
            <w:r w:rsidRPr="00470FB6">
              <w:rPr>
                <w:b w:val="0"/>
              </w:rPr>
              <w:fldChar w:fldCharType="end"/>
            </w:r>
            <w:r w:rsidR="00DB3066" w:rsidRPr="00470FB6">
              <w:rPr>
                <w:b w:val="0"/>
              </w:rPr>
              <w:t xml:space="preserve"> No</w:t>
            </w:r>
          </w:p>
          <w:p w:rsidR="00DB3066" w:rsidRPr="000B0521" w:rsidRDefault="00DB3066" w:rsidP="006366A0">
            <w:pPr>
              <w:pStyle w:val="tHeading"/>
            </w:pPr>
            <w:r w:rsidRPr="00470FB6">
              <w:rPr>
                <w:b w:val="0"/>
              </w:rPr>
              <w:t>Commen</w:t>
            </w:r>
            <w:bookmarkStart w:id="2" w:name="_GoBack"/>
            <w:bookmarkEnd w:id="2"/>
            <w:r w:rsidRPr="00470FB6">
              <w:rPr>
                <w:b w:val="0"/>
              </w:rPr>
              <w:t>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w:t>
      </w:r>
      <w:r w:rsidR="004B6F16">
        <w:t>octo</w:t>
      </w:r>
      <w:r>
        <w:t>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B15CDD" w:rsidRDefault="00B15CDD" w:rsidP="00B15CDD">
      <w:pPr>
        <w:spacing w:line="276" w:lineRule="auto"/>
        <w:jc w:val="both"/>
        <w:rPr>
          <w:rFonts w:ascii="Tahoma" w:hAnsi="Tahoma" w:cs="Tahoma"/>
          <w:sz w:val="16"/>
          <w:szCs w:val="16"/>
        </w:rPr>
      </w:pPr>
      <w:r w:rsidRPr="00A0002F">
        <w:rPr>
          <w:rFonts w:ascii="Tahoma" w:hAnsi="Tahoma" w:cs="Tahoma"/>
          <w:b/>
          <w:bCs/>
          <w:i/>
          <w:sz w:val="16"/>
          <w:szCs w:val="16"/>
        </w:rPr>
        <w:t>Disclaimer:</w:t>
      </w:r>
      <w:r w:rsidRPr="00A0002F">
        <w:rPr>
          <w:rFonts w:ascii="Tahoma" w:hAnsi="Tahoma" w:cs="Tahoma"/>
          <w:bCs/>
          <w:i/>
          <w:sz w:val="16"/>
          <w:szCs w:val="16"/>
        </w:rPr>
        <w:t xml:space="preserve"> 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w:t>
      </w:r>
      <w:r w:rsidRPr="00A0002F">
        <w:rPr>
          <w:rFonts w:cs="Arial"/>
          <w:bCs/>
          <w:i/>
          <w:sz w:val="16"/>
          <w:szCs w:val="16"/>
        </w:rPr>
        <w:t>Business</w:t>
      </w:r>
      <w:r w:rsidRPr="00A0002F">
        <w:rPr>
          <w:rFonts w:ascii="Tahoma" w:hAnsi="Tahoma" w:cs="Tahoma"/>
          <w:bCs/>
          <w:i/>
          <w:sz w:val="16"/>
          <w:szCs w:val="16"/>
        </w:rPr>
        <w:t xml:space="preserve">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A0002F">
        <w:rPr>
          <w:rFonts w:ascii="Tahoma" w:hAnsi="Tahoma" w:cs="Tahoma"/>
          <w:bCs/>
          <w:sz w:val="16"/>
          <w:szCs w:val="16"/>
        </w:rPr>
        <w:t>. (C) 2016 ReturnToWorkSA</w:t>
      </w:r>
    </w:p>
    <w:sectPr w:rsidR="003E3726" w:rsidRPr="00B15CDD" w:rsidSect="002C074E">
      <w:headerReference w:type="default" r:id="rId16"/>
      <w:footerReference w:type="default" r:id="rId17"/>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BC1" w:rsidRDefault="00A42BC1" w:rsidP="008F4CA6">
      <w:pPr>
        <w:spacing w:before="0" w:after="0"/>
      </w:pPr>
      <w:r>
        <w:separator/>
      </w:r>
    </w:p>
  </w:endnote>
  <w:endnote w:type="continuationSeparator" w:id="0">
    <w:p w:rsidR="00A42BC1" w:rsidRDefault="00A42BC1"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A42BC1" w:rsidTr="004560CA">
      <w:tc>
        <w:tcPr>
          <w:tcW w:w="3285" w:type="dxa"/>
        </w:tcPr>
        <w:p w:rsidR="00A42BC1" w:rsidRDefault="00A42BC1">
          <w:pPr>
            <w:pStyle w:val="Footer"/>
            <w:pBdr>
              <w:top w:val="none" w:sz="0" w:space="0" w:color="auto"/>
            </w:pBdr>
          </w:pPr>
        </w:p>
      </w:tc>
      <w:tc>
        <w:tcPr>
          <w:tcW w:w="3285" w:type="dxa"/>
        </w:tcPr>
        <w:p w:rsidR="00A42BC1" w:rsidRDefault="00A42BC1">
          <w:pPr>
            <w:pStyle w:val="Footer"/>
            <w:pBdr>
              <w:top w:val="none" w:sz="0" w:space="0" w:color="auto"/>
            </w:pBdr>
          </w:pPr>
        </w:p>
      </w:tc>
      <w:tc>
        <w:tcPr>
          <w:tcW w:w="3285" w:type="dxa"/>
        </w:tcPr>
        <w:p w:rsidR="00A42BC1" w:rsidRDefault="00A42BC1" w:rsidP="008A4CB0">
          <w:pPr>
            <w:pStyle w:val="Footer"/>
            <w:pBdr>
              <w:top w:val="none" w:sz="0" w:space="0" w:color="auto"/>
            </w:pBdr>
            <w:jc w:val="right"/>
          </w:pPr>
        </w:p>
      </w:tc>
    </w:tr>
  </w:tbl>
  <w:p w:rsidR="00A42BC1" w:rsidRDefault="00A42BC1"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A42BC1" w:rsidRDefault="00B15CDD" w:rsidP="00BD76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BC1" w:rsidRDefault="00A42BC1" w:rsidP="008F4CA6">
      <w:pPr>
        <w:spacing w:before="0" w:after="0"/>
      </w:pPr>
      <w:r>
        <w:separator/>
      </w:r>
    </w:p>
  </w:footnote>
  <w:footnote w:type="continuationSeparator" w:id="0">
    <w:p w:rsidR="00A42BC1" w:rsidRDefault="00A42BC1"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BC1" w:rsidRDefault="00A42BC1"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418E"/>
    <w:multiLevelType w:val="hybridMultilevel"/>
    <w:tmpl w:val="729A0B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1C15E7"/>
    <w:multiLevelType w:val="hybridMultilevel"/>
    <w:tmpl w:val="E3E8E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0381A39"/>
    <w:multiLevelType w:val="hybridMultilevel"/>
    <w:tmpl w:val="246CA2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5" w15:restartNumberingAfterBreak="0">
    <w:nsid w:val="322A3CD6"/>
    <w:multiLevelType w:val="hybridMultilevel"/>
    <w:tmpl w:val="9C90A6D6"/>
    <w:lvl w:ilvl="0" w:tplc="429A5E72">
      <w:numFmt w:val="bullet"/>
      <w:lvlText w:val="-"/>
      <w:lvlJc w:val="left"/>
      <w:pPr>
        <w:ind w:left="720" w:hanging="360"/>
      </w:pPr>
      <w:rPr>
        <w:rFonts w:ascii="Arial" w:eastAsiaTheme="minorHAnsi" w:hAnsi="Arial" w:cs="Aria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75CA1553"/>
    <w:multiLevelType w:val="hybridMultilevel"/>
    <w:tmpl w:val="1B6C42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6"/>
  </w:num>
  <w:num w:numId="5">
    <w:abstractNumId w:val="9"/>
  </w:num>
  <w:num w:numId="6">
    <w:abstractNumId w:val="8"/>
  </w:num>
  <w:num w:numId="7">
    <w:abstractNumId w:val="10"/>
  </w:num>
  <w:num w:numId="8">
    <w:abstractNumId w:val="0"/>
  </w:num>
  <w:num w:numId="9">
    <w:abstractNumId w:val="2"/>
  </w:num>
  <w:num w:numId="10">
    <w:abstractNumId w:val="5"/>
  </w:num>
  <w:num w:numId="1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36E9"/>
    <w:rsid w:val="00015E12"/>
    <w:rsid w:val="00021CDA"/>
    <w:rsid w:val="0003042E"/>
    <w:rsid w:val="000350A0"/>
    <w:rsid w:val="00036299"/>
    <w:rsid w:val="00041BB2"/>
    <w:rsid w:val="00042435"/>
    <w:rsid w:val="00047BD4"/>
    <w:rsid w:val="0005061D"/>
    <w:rsid w:val="00056A18"/>
    <w:rsid w:val="00061783"/>
    <w:rsid w:val="00063AAA"/>
    <w:rsid w:val="00071F23"/>
    <w:rsid w:val="000738D3"/>
    <w:rsid w:val="00081F8A"/>
    <w:rsid w:val="00082561"/>
    <w:rsid w:val="00086468"/>
    <w:rsid w:val="00086D31"/>
    <w:rsid w:val="000931D5"/>
    <w:rsid w:val="00095703"/>
    <w:rsid w:val="00096293"/>
    <w:rsid w:val="000A5A9D"/>
    <w:rsid w:val="000A761B"/>
    <w:rsid w:val="000A7AE9"/>
    <w:rsid w:val="000B4D17"/>
    <w:rsid w:val="000C03FD"/>
    <w:rsid w:val="000C20B6"/>
    <w:rsid w:val="000C2C7D"/>
    <w:rsid w:val="000C459C"/>
    <w:rsid w:val="000D112F"/>
    <w:rsid w:val="000F5696"/>
    <w:rsid w:val="000F56CC"/>
    <w:rsid w:val="00111B17"/>
    <w:rsid w:val="00115C73"/>
    <w:rsid w:val="0012205F"/>
    <w:rsid w:val="00140700"/>
    <w:rsid w:val="00140B5D"/>
    <w:rsid w:val="00141123"/>
    <w:rsid w:val="00141500"/>
    <w:rsid w:val="001423D9"/>
    <w:rsid w:val="00143CED"/>
    <w:rsid w:val="00152469"/>
    <w:rsid w:val="0015666E"/>
    <w:rsid w:val="0016287C"/>
    <w:rsid w:val="00163321"/>
    <w:rsid w:val="00163DF9"/>
    <w:rsid w:val="0016555A"/>
    <w:rsid w:val="00166F6E"/>
    <w:rsid w:val="00171C6B"/>
    <w:rsid w:val="00172561"/>
    <w:rsid w:val="00192DC8"/>
    <w:rsid w:val="001A0E0A"/>
    <w:rsid w:val="001A3E7D"/>
    <w:rsid w:val="001A4BED"/>
    <w:rsid w:val="001B2125"/>
    <w:rsid w:val="001C0C54"/>
    <w:rsid w:val="001C685E"/>
    <w:rsid w:val="001D1766"/>
    <w:rsid w:val="001D57A4"/>
    <w:rsid w:val="001E0179"/>
    <w:rsid w:val="001E037B"/>
    <w:rsid w:val="001E09B1"/>
    <w:rsid w:val="001E387B"/>
    <w:rsid w:val="001F33EF"/>
    <w:rsid w:val="001F3E04"/>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04"/>
    <w:rsid w:val="002464B3"/>
    <w:rsid w:val="00246789"/>
    <w:rsid w:val="00250CCE"/>
    <w:rsid w:val="00252F49"/>
    <w:rsid w:val="00265E6B"/>
    <w:rsid w:val="00270782"/>
    <w:rsid w:val="00270809"/>
    <w:rsid w:val="002708EB"/>
    <w:rsid w:val="00272767"/>
    <w:rsid w:val="002744B6"/>
    <w:rsid w:val="00285D8E"/>
    <w:rsid w:val="00291C3E"/>
    <w:rsid w:val="002973D6"/>
    <w:rsid w:val="00297995"/>
    <w:rsid w:val="002A266A"/>
    <w:rsid w:val="002A4A15"/>
    <w:rsid w:val="002A5F93"/>
    <w:rsid w:val="002B3FC3"/>
    <w:rsid w:val="002B4AE0"/>
    <w:rsid w:val="002B7A45"/>
    <w:rsid w:val="002C074E"/>
    <w:rsid w:val="002C09F8"/>
    <w:rsid w:val="002C0A60"/>
    <w:rsid w:val="002D360D"/>
    <w:rsid w:val="002D5F64"/>
    <w:rsid w:val="002D75C8"/>
    <w:rsid w:val="002E0902"/>
    <w:rsid w:val="002E20DC"/>
    <w:rsid w:val="002E65B5"/>
    <w:rsid w:val="002F39BE"/>
    <w:rsid w:val="003004C1"/>
    <w:rsid w:val="00302FED"/>
    <w:rsid w:val="00303DC7"/>
    <w:rsid w:val="003050B7"/>
    <w:rsid w:val="003067E0"/>
    <w:rsid w:val="00316066"/>
    <w:rsid w:val="00321B43"/>
    <w:rsid w:val="00325ABF"/>
    <w:rsid w:val="00330082"/>
    <w:rsid w:val="00332C9C"/>
    <w:rsid w:val="00332ED0"/>
    <w:rsid w:val="00333045"/>
    <w:rsid w:val="00333689"/>
    <w:rsid w:val="00333914"/>
    <w:rsid w:val="00364BE7"/>
    <w:rsid w:val="00372B19"/>
    <w:rsid w:val="00376E4C"/>
    <w:rsid w:val="00381156"/>
    <w:rsid w:val="00381F88"/>
    <w:rsid w:val="00383B6E"/>
    <w:rsid w:val="00387802"/>
    <w:rsid w:val="003913A2"/>
    <w:rsid w:val="00393D08"/>
    <w:rsid w:val="003A5553"/>
    <w:rsid w:val="003A5E98"/>
    <w:rsid w:val="003A7C71"/>
    <w:rsid w:val="003B2C22"/>
    <w:rsid w:val="003B698D"/>
    <w:rsid w:val="003C1331"/>
    <w:rsid w:val="003C5170"/>
    <w:rsid w:val="003D4E01"/>
    <w:rsid w:val="003E05EE"/>
    <w:rsid w:val="003E0F44"/>
    <w:rsid w:val="003E119E"/>
    <w:rsid w:val="003E249E"/>
    <w:rsid w:val="003E3726"/>
    <w:rsid w:val="003E7E47"/>
    <w:rsid w:val="003E7EB4"/>
    <w:rsid w:val="003F12FB"/>
    <w:rsid w:val="003F7132"/>
    <w:rsid w:val="00402A2C"/>
    <w:rsid w:val="004037A4"/>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2929"/>
    <w:rsid w:val="00463217"/>
    <w:rsid w:val="004639F0"/>
    <w:rsid w:val="00470FB6"/>
    <w:rsid w:val="00477EC8"/>
    <w:rsid w:val="00480E8B"/>
    <w:rsid w:val="00485FF8"/>
    <w:rsid w:val="0048626B"/>
    <w:rsid w:val="0049077C"/>
    <w:rsid w:val="004935A0"/>
    <w:rsid w:val="0049434C"/>
    <w:rsid w:val="004961AB"/>
    <w:rsid w:val="004A1C27"/>
    <w:rsid w:val="004B0C9C"/>
    <w:rsid w:val="004B1AB4"/>
    <w:rsid w:val="004B5CC1"/>
    <w:rsid w:val="004B6F16"/>
    <w:rsid w:val="004C3E52"/>
    <w:rsid w:val="004D3C9D"/>
    <w:rsid w:val="004E443F"/>
    <w:rsid w:val="004E4A87"/>
    <w:rsid w:val="004F1F26"/>
    <w:rsid w:val="004F6022"/>
    <w:rsid w:val="004F6217"/>
    <w:rsid w:val="004F68EC"/>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534D4"/>
    <w:rsid w:val="00560B66"/>
    <w:rsid w:val="0056372D"/>
    <w:rsid w:val="00567040"/>
    <w:rsid w:val="00574225"/>
    <w:rsid w:val="005776E5"/>
    <w:rsid w:val="00581DF6"/>
    <w:rsid w:val="00583C37"/>
    <w:rsid w:val="00583EB7"/>
    <w:rsid w:val="005922C1"/>
    <w:rsid w:val="00596A8D"/>
    <w:rsid w:val="005A04D6"/>
    <w:rsid w:val="005A4A72"/>
    <w:rsid w:val="005B077C"/>
    <w:rsid w:val="005B2107"/>
    <w:rsid w:val="005B2C39"/>
    <w:rsid w:val="005B320E"/>
    <w:rsid w:val="005B6162"/>
    <w:rsid w:val="005C2A39"/>
    <w:rsid w:val="005C4BC8"/>
    <w:rsid w:val="005C7CC0"/>
    <w:rsid w:val="005D55C2"/>
    <w:rsid w:val="005D620A"/>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366A0"/>
    <w:rsid w:val="00640974"/>
    <w:rsid w:val="00643BF8"/>
    <w:rsid w:val="00643CB8"/>
    <w:rsid w:val="006510EA"/>
    <w:rsid w:val="0065549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6F6083"/>
    <w:rsid w:val="0071139F"/>
    <w:rsid w:val="0071174F"/>
    <w:rsid w:val="00715D89"/>
    <w:rsid w:val="0071692A"/>
    <w:rsid w:val="0071727F"/>
    <w:rsid w:val="0072255C"/>
    <w:rsid w:val="00725E39"/>
    <w:rsid w:val="00733EED"/>
    <w:rsid w:val="00736533"/>
    <w:rsid w:val="00740069"/>
    <w:rsid w:val="00750B0C"/>
    <w:rsid w:val="00761102"/>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E3DCE"/>
    <w:rsid w:val="007F7B77"/>
    <w:rsid w:val="00802465"/>
    <w:rsid w:val="00824023"/>
    <w:rsid w:val="008325DC"/>
    <w:rsid w:val="00837AF6"/>
    <w:rsid w:val="008434A0"/>
    <w:rsid w:val="008453B6"/>
    <w:rsid w:val="00845EF7"/>
    <w:rsid w:val="00851A68"/>
    <w:rsid w:val="00852C2F"/>
    <w:rsid w:val="00854AAA"/>
    <w:rsid w:val="00857239"/>
    <w:rsid w:val="008575C4"/>
    <w:rsid w:val="008613D9"/>
    <w:rsid w:val="00866F1B"/>
    <w:rsid w:val="00870882"/>
    <w:rsid w:val="0087581F"/>
    <w:rsid w:val="008776A9"/>
    <w:rsid w:val="00880899"/>
    <w:rsid w:val="00881100"/>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203C0"/>
    <w:rsid w:val="0093057B"/>
    <w:rsid w:val="00930B93"/>
    <w:rsid w:val="00931D27"/>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3062"/>
    <w:rsid w:val="00987E99"/>
    <w:rsid w:val="009911A6"/>
    <w:rsid w:val="009A6AB7"/>
    <w:rsid w:val="009B1B12"/>
    <w:rsid w:val="009B363E"/>
    <w:rsid w:val="009C04D4"/>
    <w:rsid w:val="009C0FBF"/>
    <w:rsid w:val="009C1840"/>
    <w:rsid w:val="009C3FDF"/>
    <w:rsid w:val="009C4FBA"/>
    <w:rsid w:val="009C6A8C"/>
    <w:rsid w:val="009C6ABB"/>
    <w:rsid w:val="009D66ED"/>
    <w:rsid w:val="009E48B7"/>
    <w:rsid w:val="009E56CE"/>
    <w:rsid w:val="009E59FE"/>
    <w:rsid w:val="009F1B29"/>
    <w:rsid w:val="009F41E9"/>
    <w:rsid w:val="00A02A20"/>
    <w:rsid w:val="00A114F9"/>
    <w:rsid w:val="00A12F2C"/>
    <w:rsid w:val="00A21E6D"/>
    <w:rsid w:val="00A22460"/>
    <w:rsid w:val="00A26254"/>
    <w:rsid w:val="00A337D6"/>
    <w:rsid w:val="00A3503B"/>
    <w:rsid w:val="00A42785"/>
    <w:rsid w:val="00A42BC1"/>
    <w:rsid w:val="00A456E1"/>
    <w:rsid w:val="00A52D9A"/>
    <w:rsid w:val="00A52F76"/>
    <w:rsid w:val="00A62292"/>
    <w:rsid w:val="00A80BCF"/>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F1574"/>
    <w:rsid w:val="00AF4E53"/>
    <w:rsid w:val="00AF7950"/>
    <w:rsid w:val="00B02EF8"/>
    <w:rsid w:val="00B067E8"/>
    <w:rsid w:val="00B15CDD"/>
    <w:rsid w:val="00B33753"/>
    <w:rsid w:val="00B576CC"/>
    <w:rsid w:val="00B61407"/>
    <w:rsid w:val="00B63D61"/>
    <w:rsid w:val="00B653B4"/>
    <w:rsid w:val="00B65FA8"/>
    <w:rsid w:val="00B669B8"/>
    <w:rsid w:val="00B70A0B"/>
    <w:rsid w:val="00B718C4"/>
    <w:rsid w:val="00B75873"/>
    <w:rsid w:val="00B850F3"/>
    <w:rsid w:val="00B96161"/>
    <w:rsid w:val="00B962AE"/>
    <w:rsid w:val="00BA1F89"/>
    <w:rsid w:val="00BB5AAF"/>
    <w:rsid w:val="00BC48C3"/>
    <w:rsid w:val="00BD5C83"/>
    <w:rsid w:val="00BD76C2"/>
    <w:rsid w:val="00BE010B"/>
    <w:rsid w:val="00BE29DB"/>
    <w:rsid w:val="00BE6FE1"/>
    <w:rsid w:val="00C024A9"/>
    <w:rsid w:val="00C10F0A"/>
    <w:rsid w:val="00C156B8"/>
    <w:rsid w:val="00C17D82"/>
    <w:rsid w:val="00C235B5"/>
    <w:rsid w:val="00C40CF0"/>
    <w:rsid w:val="00C42050"/>
    <w:rsid w:val="00C51D57"/>
    <w:rsid w:val="00C55BDF"/>
    <w:rsid w:val="00C56C55"/>
    <w:rsid w:val="00C575DB"/>
    <w:rsid w:val="00C632D1"/>
    <w:rsid w:val="00C76E47"/>
    <w:rsid w:val="00C8254B"/>
    <w:rsid w:val="00C825C4"/>
    <w:rsid w:val="00C9028E"/>
    <w:rsid w:val="00C92D56"/>
    <w:rsid w:val="00C93C2B"/>
    <w:rsid w:val="00C971A6"/>
    <w:rsid w:val="00CA3D03"/>
    <w:rsid w:val="00CA5B50"/>
    <w:rsid w:val="00CB163D"/>
    <w:rsid w:val="00CB5F55"/>
    <w:rsid w:val="00CC4356"/>
    <w:rsid w:val="00CC588F"/>
    <w:rsid w:val="00CC601B"/>
    <w:rsid w:val="00CD553F"/>
    <w:rsid w:val="00CD7FC3"/>
    <w:rsid w:val="00CE5D67"/>
    <w:rsid w:val="00CF6AE8"/>
    <w:rsid w:val="00D065F7"/>
    <w:rsid w:val="00D06774"/>
    <w:rsid w:val="00D100A0"/>
    <w:rsid w:val="00D10586"/>
    <w:rsid w:val="00D10849"/>
    <w:rsid w:val="00D116F6"/>
    <w:rsid w:val="00D2697B"/>
    <w:rsid w:val="00D27AAF"/>
    <w:rsid w:val="00D40567"/>
    <w:rsid w:val="00D4608E"/>
    <w:rsid w:val="00D55A1D"/>
    <w:rsid w:val="00D632DF"/>
    <w:rsid w:val="00D67562"/>
    <w:rsid w:val="00D7683B"/>
    <w:rsid w:val="00D768D2"/>
    <w:rsid w:val="00D821B9"/>
    <w:rsid w:val="00D86CE5"/>
    <w:rsid w:val="00D9110D"/>
    <w:rsid w:val="00D95E04"/>
    <w:rsid w:val="00DA5267"/>
    <w:rsid w:val="00DA7911"/>
    <w:rsid w:val="00DB2780"/>
    <w:rsid w:val="00DB3066"/>
    <w:rsid w:val="00DC7EDE"/>
    <w:rsid w:val="00DE03AB"/>
    <w:rsid w:val="00DE2705"/>
    <w:rsid w:val="00DF35BA"/>
    <w:rsid w:val="00DF3E38"/>
    <w:rsid w:val="00DF6DDA"/>
    <w:rsid w:val="00DF700E"/>
    <w:rsid w:val="00E030E9"/>
    <w:rsid w:val="00E06E73"/>
    <w:rsid w:val="00E07F2B"/>
    <w:rsid w:val="00E21958"/>
    <w:rsid w:val="00E228D7"/>
    <w:rsid w:val="00E30AB1"/>
    <w:rsid w:val="00E31D88"/>
    <w:rsid w:val="00E31FA8"/>
    <w:rsid w:val="00E33CAC"/>
    <w:rsid w:val="00E35E1A"/>
    <w:rsid w:val="00E4452F"/>
    <w:rsid w:val="00E4567F"/>
    <w:rsid w:val="00E45CBB"/>
    <w:rsid w:val="00E56D1D"/>
    <w:rsid w:val="00E668C8"/>
    <w:rsid w:val="00E671CF"/>
    <w:rsid w:val="00E70C13"/>
    <w:rsid w:val="00E70D92"/>
    <w:rsid w:val="00E71416"/>
    <w:rsid w:val="00E72826"/>
    <w:rsid w:val="00E77AE4"/>
    <w:rsid w:val="00E86E15"/>
    <w:rsid w:val="00E8716A"/>
    <w:rsid w:val="00E87452"/>
    <w:rsid w:val="00E93491"/>
    <w:rsid w:val="00E93D5D"/>
    <w:rsid w:val="00E945CB"/>
    <w:rsid w:val="00E960F3"/>
    <w:rsid w:val="00EA271B"/>
    <w:rsid w:val="00EA57CB"/>
    <w:rsid w:val="00EA7733"/>
    <w:rsid w:val="00EB3718"/>
    <w:rsid w:val="00EB6190"/>
    <w:rsid w:val="00EB702A"/>
    <w:rsid w:val="00EC7EEC"/>
    <w:rsid w:val="00ED3610"/>
    <w:rsid w:val="00ED5A7F"/>
    <w:rsid w:val="00EE423E"/>
    <w:rsid w:val="00EE700A"/>
    <w:rsid w:val="00EF5000"/>
    <w:rsid w:val="00EF6CEC"/>
    <w:rsid w:val="00F01707"/>
    <w:rsid w:val="00F01FBF"/>
    <w:rsid w:val="00F073EF"/>
    <w:rsid w:val="00F102AD"/>
    <w:rsid w:val="00F10403"/>
    <w:rsid w:val="00F11AE8"/>
    <w:rsid w:val="00F143A4"/>
    <w:rsid w:val="00F16FEA"/>
    <w:rsid w:val="00F20948"/>
    <w:rsid w:val="00F20F74"/>
    <w:rsid w:val="00F2199B"/>
    <w:rsid w:val="00F24E65"/>
    <w:rsid w:val="00F32746"/>
    <w:rsid w:val="00F34A5E"/>
    <w:rsid w:val="00F4215B"/>
    <w:rsid w:val="00F43FB5"/>
    <w:rsid w:val="00F44AAC"/>
    <w:rsid w:val="00F54F9D"/>
    <w:rsid w:val="00F55444"/>
    <w:rsid w:val="00F55B52"/>
    <w:rsid w:val="00F676F7"/>
    <w:rsid w:val="00F83C62"/>
    <w:rsid w:val="00F86852"/>
    <w:rsid w:val="00F91AE1"/>
    <w:rsid w:val="00F9335E"/>
    <w:rsid w:val="00FA33CE"/>
    <w:rsid w:val="00FA4292"/>
    <w:rsid w:val="00FA4BBD"/>
    <w:rsid w:val="00FA55C9"/>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A3166C4E-F17B-45DC-8B1C-95F3FF80B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6"/>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6"/>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3"/>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4"/>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4"/>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4"/>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4"/>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4"/>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4"/>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6"/>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18"/>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18"/>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18"/>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18"/>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18"/>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18"/>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18"/>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5"/>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2"/>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6"/>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354703">
      <w:bodyDiv w:val="1"/>
      <w:marLeft w:val="0"/>
      <w:marRight w:val="0"/>
      <w:marTop w:val="0"/>
      <w:marBottom w:val="0"/>
      <w:divBdr>
        <w:top w:val="none" w:sz="0" w:space="0" w:color="auto"/>
        <w:left w:val="none" w:sz="0" w:space="0" w:color="auto"/>
        <w:bottom w:val="none" w:sz="0" w:space="0" w:color="auto"/>
        <w:right w:val="none" w:sz="0" w:space="0" w:color="auto"/>
      </w:divBdr>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03007E-DD12-4B00-A702-B0CB40659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5</TotalTime>
  <Pages>4</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Hardware and Homeware Retailing - Locksmith Service Technician</dc:title>
  <dc:subject>Job dictionary</dc:subject>
  <dc:creator>Business SA</dc:creator>
  <cp:keywords>Customer service; sack truck; pallets; standing; locksmith; workbench </cp:keywords>
  <dc:description>Early intervention; early medical assessment; work capacity; job analysis; job summary</dc:description>
  <cp:lastModifiedBy>Timoteo, Rudy</cp:lastModifiedBy>
  <cp:revision>9</cp:revision>
  <cp:lastPrinted>2015-02-24T00:39:00Z</cp:lastPrinted>
  <dcterms:created xsi:type="dcterms:W3CDTF">2015-05-26T04:27:00Z</dcterms:created>
  <dcterms:modified xsi:type="dcterms:W3CDTF">2016-04-13T04:50:00Z</dcterms:modified>
  <cp:category>Wholesale and retail</cp:category>
</cp:coreProperties>
</file>