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3A969" w14:textId="77777777" w:rsidR="008D5F4A" w:rsidRPr="003A6C8D" w:rsidRDefault="008D5F4A" w:rsidP="00905A2E">
      <w:pPr>
        <w:pStyle w:val="MainHeader"/>
        <w:spacing w:line="240" w:lineRule="auto"/>
        <w:ind w:right="163"/>
        <w:rPr>
          <w:rFonts w:asciiTheme="majorHAnsi" w:hAnsiTheme="majorHAnsi"/>
          <w:color w:val="991324"/>
          <w:lang w:val="en-AU"/>
        </w:rPr>
        <w:sectPr w:rsidR="008D5F4A" w:rsidRPr="003A6C8D" w:rsidSect="00023865">
          <w:headerReference w:type="default" r:id="rId8"/>
          <w:headerReference w:type="first" r:id="rId9"/>
          <w:footerReference w:type="first" r:id="rId10"/>
          <w:pgSz w:w="11900" w:h="16840"/>
          <w:pgMar w:top="0" w:right="0" w:bottom="0" w:left="0" w:header="0" w:footer="0" w:gutter="0"/>
          <w:cols w:num="2" w:space="794"/>
          <w:titlePg/>
          <w:docGrid w:linePitch="360"/>
        </w:sectPr>
      </w:pPr>
    </w:p>
    <w:p w14:paraId="2DD6F30B" w14:textId="77777777" w:rsidR="00D666CA" w:rsidRPr="009E6862" w:rsidRDefault="00023865" w:rsidP="00905A2E">
      <w:pPr>
        <w:ind w:right="163"/>
        <w:rPr>
          <w:rFonts w:ascii="Calibri Light" w:hAnsi="Calibri Light" w:cs="SourceSansPro-Light"/>
          <w:color w:val="000000"/>
          <w:sz w:val="20"/>
          <w:szCs w:val="20"/>
          <w:lang w:val="en-US"/>
        </w:rPr>
        <w:sectPr w:rsidR="00D666CA" w:rsidRPr="009E6862" w:rsidSect="00D666CA">
          <w:type w:val="continuous"/>
          <w:pgSz w:w="11900" w:h="16840"/>
          <w:pgMar w:top="794" w:right="737" w:bottom="737" w:left="0" w:header="0" w:footer="0" w:gutter="794"/>
          <w:cols w:space="674"/>
          <w:titlePg/>
          <w:docGrid w:linePitch="360"/>
        </w:sect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59776" behindDoc="0" locked="0" layoutInCell="1" allowOverlap="1" wp14:anchorId="46DC5F46" wp14:editId="0F3FE4B0">
                <wp:simplePos x="0" y="0"/>
                <wp:positionH relativeFrom="column">
                  <wp:posOffset>-111125</wp:posOffset>
                </wp:positionH>
                <wp:positionV relativeFrom="paragraph">
                  <wp:posOffset>4361180</wp:posOffset>
                </wp:positionV>
                <wp:extent cx="5143500" cy="31140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143500" cy="31140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8E3FCBD" w14:textId="77777777" w:rsidR="00B75ADE" w:rsidRPr="00224644" w:rsidRDefault="00B75ADE" w:rsidP="00D666CA">
                            <w:pPr>
                              <w:pStyle w:val="MainHeadingCover"/>
                            </w:pPr>
                            <w:r>
                              <w:t>Guide to the Valuation of Liability Transfer Payments</w:t>
                            </w:r>
                          </w:p>
                          <w:p w14:paraId="0D63BC06" w14:textId="28B1F2FC" w:rsidR="00B75ADE" w:rsidRDefault="00551F2B" w:rsidP="00D666CA">
                            <w:pPr>
                              <w:pStyle w:val="SubheadingCover"/>
                            </w:pPr>
                            <w:r>
                              <w:t>January 2020</w:t>
                            </w:r>
                          </w:p>
                          <w:p w14:paraId="4630F218" w14:textId="77777777" w:rsidR="00B75ADE" w:rsidRPr="00AB0F76" w:rsidRDefault="00B75ADE" w:rsidP="00D666CA">
                            <w:pPr>
                              <w:pStyle w:val="SubheadingCover"/>
                            </w:pPr>
                            <w:r>
                              <w:t>Version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C5F46" id="_x0000_t202" coordsize="21600,21600" o:spt="202" path="m,l,21600r21600,l21600,xe">
                <v:stroke joinstyle="miter"/>
                <v:path gradientshapeok="t" o:connecttype="rect"/>
              </v:shapetype>
              <v:shape id="Text Box 4" o:spid="_x0000_s1026" type="#_x0000_t202" style="position:absolute;left:0;text-align:left;margin-left:-8.75pt;margin-top:343.4pt;width:405pt;height:24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" filled="f" stroked="f">
                <v:textbox>
                  <w:txbxContent>
                    <w:p w14:paraId="68E3FCBD" w14:textId="77777777" w:rsidR="00B75ADE" w:rsidRPr="00224644" w:rsidRDefault="00B75ADE" w:rsidP="00D666CA">
                      <w:pPr>
                        <w:pStyle w:val="MainHeadingCover"/>
                      </w:pPr>
                      <w:r>
                        <w:t>Guide to the Valuation of Liability Transfer Payments</w:t>
                      </w:r>
                    </w:p>
                    <w:p w14:paraId="0D63BC06" w14:textId="28B1F2FC" w:rsidR="00B75ADE" w:rsidRDefault="00551F2B" w:rsidP="00D666CA">
                      <w:pPr>
                        <w:pStyle w:val="SubheadingCover"/>
                      </w:pPr>
                      <w:r>
                        <w:t>January 2020</w:t>
                      </w:r>
                    </w:p>
                    <w:p w14:paraId="4630F218" w14:textId="77777777" w:rsidR="00B75ADE" w:rsidRPr="00AB0F76" w:rsidRDefault="00B75ADE" w:rsidP="00D666CA">
                      <w:pPr>
                        <w:pStyle w:val="SubheadingCover"/>
                      </w:pPr>
                      <w:r>
                        <w:t>Version 2</w:t>
                      </w:r>
                    </w:p>
                  </w:txbxContent>
                </v:textbox>
                <w10:wrap type="square"/>
              </v:shape>
            </w:pict>
          </mc:Fallback>
        </mc:AlternateContent>
      </w:r>
      <w:r>
        <w:rPr>
          <w:rFonts w:ascii="Calibri Light" w:hAnsi="Calibri Light" w:cs="SourceSansPro-Light"/>
          <w:color w:val="000000"/>
          <w:sz w:val="20"/>
          <w:szCs w:val="20"/>
          <w:lang w:val="en-US"/>
        </w:rPr>
        <w:br w:type="page"/>
      </w:r>
      <w:bookmarkStart w:id="0" w:name="_GoBack"/>
      <w:bookmarkEnd w:id="0"/>
    </w:p>
    <w:p w14:paraId="2A36B4EE" w14:textId="77777777" w:rsidR="00023865" w:rsidRDefault="00023865" w:rsidP="00905A2E">
      <w:pPr>
        <w:widowControl w:val="0"/>
        <w:suppressAutoHyphens/>
        <w:autoSpaceDE w:val="0"/>
        <w:autoSpaceDN w:val="0"/>
        <w:adjustRightInd w:val="0"/>
        <w:spacing w:line="360" w:lineRule="exact"/>
        <w:ind w:right="163"/>
        <w:textAlignment w:val="center"/>
      </w:pPr>
      <w:r>
        <w:rPr>
          <w:rFonts w:ascii="Calibri" w:hAnsi="Calibri"/>
          <w:noProof/>
          <w:color w:val="991324"/>
          <w:sz w:val="36"/>
          <w:szCs w:val="36"/>
          <w:lang w:eastAsia="en-AU"/>
        </w:rPr>
        <w:lastRenderedPageBreak/>
        <mc:AlternateContent>
          <mc:Choice Requires="wps">
            <w:drawing>
              <wp:anchor distT="0" distB="0" distL="114300" distR="114300" simplePos="0" relativeHeight="251659264" behindDoc="0" locked="0" layoutInCell="1" allowOverlap="1" wp14:anchorId="2134E8C4" wp14:editId="05D25CDB">
                <wp:simplePos x="0" y="0"/>
                <wp:positionH relativeFrom="column">
                  <wp:posOffset>0</wp:posOffset>
                </wp:positionH>
                <wp:positionV relativeFrom="paragraph">
                  <wp:posOffset>114300</wp:posOffset>
                </wp:positionV>
                <wp:extent cx="6616700" cy="1057910"/>
                <wp:effectExtent l="0" t="0" r="0" b="8890"/>
                <wp:wrapSquare wrapText="bothSides"/>
                <wp:docPr id="23" name="Text Box 23"/>
                <wp:cNvGraphicFramePr/>
                <a:graphic xmlns:a="http://schemas.openxmlformats.org/drawingml/2006/main">
                  <a:graphicData uri="http://schemas.microsoft.com/office/word/2010/wordprocessingShape">
                    <wps:wsp>
                      <wps:cNvSpPr txBox="1"/>
                      <wps:spPr>
                        <a:xfrm>
                          <a:off x="0" y="0"/>
                          <a:ext cx="6616700" cy="10579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C68FA2" w14:textId="77777777" w:rsidR="00B75ADE" w:rsidRPr="00D666CA" w:rsidRDefault="00B75ADE" w:rsidP="00864149">
                            <w:pPr>
                              <w:pStyle w:val="TOCHeader"/>
                            </w:pPr>
                            <w:r w:rsidRPr="00D666CA">
                              <w:t>Contents</w:t>
                            </w:r>
                          </w:p>
                          <w:p w14:paraId="3580F98B" w14:textId="77777777" w:rsidR="00B75ADE" w:rsidRPr="007A5C13" w:rsidRDefault="00B75ADE" w:rsidP="00023865">
                            <w:pPr>
                              <w:ind w:left="-426"/>
                              <w:rPr>
                                <w:rFonts w:ascii="Calibri" w:hAnsi="Calibri"/>
                                <w:color w:val="B2031D"/>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4E8C4" id="Text Box 23" o:spid="_x0000_s1027" type="#_x0000_t202" style="position:absolute;left:0;text-align:left;margin-left:0;margin-top:9pt;width:521pt;height:8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" filled="f" stroked="f">
                <v:textbox>
                  <w:txbxContent>
                    <w:p w14:paraId="2DC68FA2" w14:textId="77777777" w:rsidR="00B75ADE" w:rsidRPr="00D666CA" w:rsidRDefault="00B75ADE" w:rsidP="00864149">
                      <w:pPr>
                        <w:pStyle w:val="TOCHeader"/>
                      </w:pPr>
                      <w:r w:rsidRPr="00D666CA">
                        <w:t>Contents</w:t>
                      </w:r>
                    </w:p>
                    <w:p w14:paraId="3580F98B" w14:textId="77777777" w:rsidR="00B75ADE" w:rsidRPr="007A5C13" w:rsidRDefault="00B75ADE" w:rsidP="00023865">
                      <w:pPr>
                        <w:ind w:left="-426"/>
                        <w:rPr>
                          <w:rFonts w:ascii="Calibri" w:hAnsi="Calibri"/>
                          <w:color w:val="B2031D"/>
                          <w:sz w:val="56"/>
                          <w:szCs w:val="56"/>
                        </w:rPr>
                      </w:pPr>
                    </w:p>
                  </w:txbxContent>
                </v:textbox>
                <w10:wrap type="square"/>
              </v:shape>
            </w:pict>
          </mc:Fallback>
        </mc:AlternateContent>
      </w:r>
    </w:p>
    <w:p w14:paraId="363BE1A4" w14:textId="548381EE" w:rsidR="00551F2B" w:rsidRDefault="00864149">
      <w:pPr>
        <w:pStyle w:val="TOC1"/>
        <w:rPr>
          <w:rFonts w:asciiTheme="minorHAnsi" w:hAnsiTheme="minorHAnsi"/>
          <w:noProof/>
          <w:sz w:val="22"/>
          <w:szCs w:val="22"/>
          <w:lang w:eastAsia="en-AU"/>
        </w:rPr>
      </w:pPr>
      <w:r>
        <w:fldChar w:fldCharType="begin"/>
      </w:r>
      <w:r>
        <w:instrText xml:space="preserve"> TOC \o "1-3" \h \z \u </w:instrText>
      </w:r>
      <w:r>
        <w:fldChar w:fldCharType="separate"/>
      </w:r>
      <w:hyperlink w:anchor="_Toc29451793" w:history="1">
        <w:r w:rsidR="00551F2B" w:rsidRPr="005738D6">
          <w:rPr>
            <w:rStyle w:val="Hyperlink"/>
            <w:noProof/>
          </w:rPr>
          <w:t>Assumption of Outstanding Claims Liabilities</w:t>
        </w:r>
        <w:r w:rsidR="00551F2B">
          <w:rPr>
            <w:noProof/>
            <w:webHidden/>
          </w:rPr>
          <w:tab/>
        </w:r>
        <w:r w:rsidR="00551F2B">
          <w:rPr>
            <w:noProof/>
            <w:webHidden/>
          </w:rPr>
          <w:fldChar w:fldCharType="begin"/>
        </w:r>
        <w:r w:rsidR="00551F2B">
          <w:rPr>
            <w:noProof/>
            <w:webHidden/>
          </w:rPr>
          <w:instrText xml:space="preserve"> PAGEREF _Toc29451793 \h </w:instrText>
        </w:r>
        <w:r w:rsidR="00551F2B">
          <w:rPr>
            <w:noProof/>
            <w:webHidden/>
          </w:rPr>
        </w:r>
        <w:r w:rsidR="00551F2B">
          <w:rPr>
            <w:noProof/>
            <w:webHidden/>
          </w:rPr>
          <w:fldChar w:fldCharType="separate"/>
        </w:r>
        <w:r w:rsidR="00EE054B">
          <w:rPr>
            <w:noProof/>
            <w:webHidden/>
          </w:rPr>
          <w:t>3</w:t>
        </w:r>
        <w:r w:rsidR="00551F2B">
          <w:rPr>
            <w:noProof/>
            <w:webHidden/>
          </w:rPr>
          <w:fldChar w:fldCharType="end"/>
        </w:r>
      </w:hyperlink>
    </w:p>
    <w:p w14:paraId="324C2938" w14:textId="4AD8FB30" w:rsidR="00551F2B" w:rsidRDefault="00EE054B">
      <w:pPr>
        <w:pStyle w:val="TOC2"/>
        <w:rPr>
          <w:rFonts w:asciiTheme="minorHAnsi" w:hAnsiTheme="minorHAnsi"/>
          <w:szCs w:val="22"/>
          <w:lang w:eastAsia="en-AU"/>
        </w:rPr>
      </w:pPr>
      <w:hyperlink w:anchor="_Toc29451794" w:history="1">
        <w:r w:rsidR="00551F2B" w:rsidRPr="005738D6">
          <w:rPr>
            <w:rStyle w:val="Hyperlink"/>
            <w:lang w:val="en-US"/>
          </w:rPr>
          <w:t>Net Premium Position</w:t>
        </w:r>
        <w:r w:rsidR="00551F2B">
          <w:rPr>
            <w:webHidden/>
          </w:rPr>
          <w:tab/>
        </w:r>
        <w:r w:rsidR="00551F2B">
          <w:rPr>
            <w:webHidden/>
          </w:rPr>
          <w:fldChar w:fldCharType="begin"/>
        </w:r>
        <w:r w:rsidR="00551F2B">
          <w:rPr>
            <w:webHidden/>
          </w:rPr>
          <w:instrText xml:space="preserve"> PAGEREF _Toc29451794 \h </w:instrText>
        </w:r>
        <w:r w:rsidR="00551F2B">
          <w:rPr>
            <w:webHidden/>
          </w:rPr>
        </w:r>
        <w:r w:rsidR="00551F2B">
          <w:rPr>
            <w:webHidden/>
          </w:rPr>
          <w:fldChar w:fldCharType="separate"/>
        </w:r>
        <w:r>
          <w:rPr>
            <w:webHidden/>
          </w:rPr>
          <w:t>5</w:t>
        </w:r>
        <w:r w:rsidR="00551F2B">
          <w:rPr>
            <w:webHidden/>
          </w:rPr>
          <w:fldChar w:fldCharType="end"/>
        </w:r>
      </w:hyperlink>
    </w:p>
    <w:p w14:paraId="2ED61E9D" w14:textId="01294359" w:rsidR="00551F2B" w:rsidRDefault="00EE054B">
      <w:pPr>
        <w:pStyle w:val="TOC2"/>
        <w:rPr>
          <w:rFonts w:asciiTheme="minorHAnsi" w:hAnsiTheme="minorHAnsi"/>
          <w:szCs w:val="22"/>
          <w:lang w:eastAsia="en-AU"/>
        </w:rPr>
      </w:pPr>
      <w:hyperlink w:anchor="_Toc29451795" w:history="1">
        <w:r w:rsidR="00551F2B" w:rsidRPr="005738D6">
          <w:rPr>
            <w:rStyle w:val="Hyperlink"/>
            <w:lang w:val="en-US"/>
          </w:rPr>
          <w:t>Liability Transfer Payment – Commencing Self-Insurance</w:t>
        </w:r>
        <w:r w:rsidR="00551F2B">
          <w:rPr>
            <w:webHidden/>
          </w:rPr>
          <w:tab/>
        </w:r>
        <w:r w:rsidR="00551F2B">
          <w:rPr>
            <w:webHidden/>
          </w:rPr>
          <w:fldChar w:fldCharType="begin"/>
        </w:r>
        <w:r w:rsidR="00551F2B">
          <w:rPr>
            <w:webHidden/>
          </w:rPr>
          <w:instrText xml:space="preserve"> PAGEREF _Toc29451795 \h </w:instrText>
        </w:r>
        <w:r w:rsidR="00551F2B">
          <w:rPr>
            <w:webHidden/>
          </w:rPr>
        </w:r>
        <w:r w:rsidR="00551F2B">
          <w:rPr>
            <w:webHidden/>
          </w:rPr>
          <w:fldChar w:fldCharType="separate"/>
        </w:r>
        <w:r>
          <w:rPr>
            <w:webHidden/>
          </w:rPr>
          <w:t>6</w:t>
        </w:r>
        <w:r w:rsidR="00551F2B">
          <w:rPr>
            <w:webHidden/>
          </w:rPr>
          <w:fldChar w:fldCharType="end"/>
        </w:r>
      </w:hyperlink>
    </w:p>
    <w:p w14:paraId="67613BA2" w14:textId="270957D1" w:rsidR="00551F2B" w:rsidRDefault="00EE054B">
      <w:pPr>
        <w:pStyle w:val="TOC2"/>
        <w:rPr>
          <w:rFonts w:asciiTheme="minorHAnsi" w:hAnsiTheme="minorHAnsi"/>
          <w:szCs w:val="22"/>
          <w:lang w:eastAsia="en-AU"/>
        </w:rPr>
      </w:pPr>
      <w:hyperlink w:anchor="_Toc29451796" w:history="1">
        <w:r w:rsidR="00551F2B" w:rsidRPr="005738D6">
          <w:rPr>
            <w:rStyle w:val="Hyperlink"/>
            <w:lang w:val="en-US"/>
          </w:rPr>
          <w:t>Liability Transfer Payment – Ceasing self-insurance</w:t>
        </w:r>
        <w:r w:rsidR="00551F2B">
          <w:rPr>
            <w:webHidden/>
          </w:rPr>
          <w:tab/>
        </w:r>
        <w:r w:rsidR="00551F2B">
          <w:rPr>
            <w:webHidden/>
          </w:rPr>
          <w:fldChar w:fldCharType="begin"/>
        </w:r>
        <w:r w:rsidR="00551F2B">
          <w:rPr>
            <w:webHidden/>
          </w:rPr>
          <w:instrText xml:space="preserve"> PAGEREF _Toc29451796 \h </w:instrText>
        </w:r>
        <w:r w:rsidR="00551F2B">
          <w:rPr>
            <w:webHidden/>
          </w:rPr>
        </w:r>
        <w:r w:rsidR="00551F2B">
          <w:rPr>
            <w:webHidden/>
          </w:rPr>
          <w:fldChar w:fldCharType="separate"/>
        </w:r>
        <w:r>
          <w:rPr>
            <w:webHidden/>
          </w:rPr>
          <w:t>8</w:t>
        </w:r>
        <w:r w:rsidR="00551F2B">
          <w:rPr>
            <w:webHidden/>
          </w:rPr>
          <w:fldChar w:fldCharType="end"/>
        </w:r>
      </w:hyperlink>
    </w:p>
    <w:p w14:paraId="1839A473" w14:textId="2C7AC665" w:rsidR="00551F2B" w:rsidRDefault="00EE054B">
      <w:pPr>
        <w:pStyle w:val="TOC2"/>
        <w:rPr>
          <w:rFonts w:asciiTheme="minorHAnsi" w:hAnsiTheme="minorHAnsi"/>
          <w:szCs w:val="22"/>
          <w:lang w:eastAsia="en-AU"/>
        </w:rPr>
      </w:pPr>
      <w:hyperlink w:anchor="_Toc29451797" w:history="1">
        <w:r w:rsidR="00551F2B" w:rsidRPr="005738D6">
          <w:rPr>
            <w:rStyle w:val="Hyperlink"/>
            <w:lang w:val="en-US"/>
          </w:rPr>
          <w:t>Example Calculations</w:t>
        </w:r>
        <w:r w:rsidR="00551F2B">
          <w:rPr>
            <w:webHidden/>
          </w:rPr>
          <w:tab/>
        </w:r>
        <w:r w:rsidR="00551F2B">
          <w:rPr>
            <w:webHidden/>
          </w:rPr>
          <w:fldChar w:fldCharType="begin"/>
        </w:r>
        <w:r w:rsidR="00551F2B">
          <w:rPr>
            <w:webHidden/>
          </w:rPr>
          <w:instrText xml:space="preserve"> PAGEREF _Toc29451797 \h </w:instrText>
        </w:r>
        <w:r w:rsidR="00551F2B">
          <w:rPr>
            <w:webHidden/>
          </w:rPr>
        </w:r>
        <w:r w:rsidR="00551F2B">
          <w:rPr>
            <w:webHidden/>
          </w:rPr>
          <w:fldChar w:fldCharType="separate"/>
        </w:r>
        <w:r>
          <w:rPr>
            <w:webHidden/>
          </w:rPr>
          <w:t>10</w:t>
        </w:r>
        <w:r w:rsidR="00551F2B">
          <w:rPr>
            <w:webHidden/>
          </w:rPr>
          <w:fldChar w:fldCharType="end"/>
        </w:r>
      </w:hyperlink>
    </w:p>
    <w:p w14:paraId="048EAEB4" w14:textId="6FD41523" w:rsidR="00864149" w:rsidRPr="00023865" w:rsidRDefault="00864149" w:rsidP="00905A2E">
      <w:pPr>
        <w:tabs>
          <w:tab w:val="right" w:leader="dot" w:pos="10348"/>
        </w:tabs>
        <w:ind w:right="163"/>
        <w:jc w:val="left"/>
      </w:pPr>
      <w:r>
        <w:fldChar w:fldCharType="end"/>
      </w:r>
    </w:p>
    <w:p w14:paraId="70D0D873" w14:textId="77777777" w:rsidR="00023865" w:rsidRDefault="00023865" w:rsidP="00905A2E">
      <w:pPr>
        <w:widowControl w:val="0"/>
        <w:tabs>
          <w:tab w:val="right" w:leader="dot" w:pos="4820"/>
        </w:tabs>
        <w:suppressAutoHyphens/>
        <w:autoSpaceDE w:val="0"/>
        <w:autoSpaceDN w:val="0"/>
        <w:adjustRightInd w:val="0"/>
        <w:spacing w:line="360" w:lineRule="exact"/>
        <w:ind w:right="163"/>
        <w:jc w:val="right"/>
        <w:textAlignment w:val="center"/>
        <w:rPr>
          <w:rFonts w:ascii="Calibri Light" w:hAnsi="Calibri Light" w:cs="SourceSansPro-Light"/>
          <w:color w:val="000000"/>
          <w:sz w:val="20"/>
          <w:szCs w:val="20"/>
          <w:lang w:val="en-US"/>
        </w:rPr>
      </w:pPr>
    </w:p>
    <w:p w14:paraId="170CA24D" w14:textId="77777777" w:rsidR="00D666CA" w:rsidRDefault="00D666CA" w:rsidP="00905A2E">
      <w:pPr>
        <w:tabs>
          <w:tab w:val="right" w:leader="dot" w:pos="4820"/>
        </w:tabs>
        <w:ind w:right="163"/>
        <w:rPr>
          <w:rFonts w:ascii="Calibri Light" w:hAnsi="Calibri Light" w:cs="SourceSansPro-Light"/>
          <w:color w:val="000000"/>
          <w:sz w:val="20"/>
          <w:szCs w:val="20"/>
          <w:lang w:val="en-US"/>
        </w:rPr>
        <w:sectPr w:rsidR="00D666CA" w:rsidSect="00C06B7F">
          <w:headerReference w:type="default" r:id="rId11"/>
          <w:footerReference w:type="default" r:id="rId12"/>
          <w:headerReference w:type="first" r:id="rId13"/>
          <w:footerReference w:type="first" r:id="rId14"/>
          <w:pgSz w:w="11900" w:h="16840"/>
          <w:pgMar w:top="794" w:right="737" w:bottom="737" w:left="0" w:header="0" w:footer="0" w:gutter="794"/>
          <w:cols w:space="674"/>
          <w:docGrid w:linePitch="360"/>
        </w:sectPr>
      </w:pPr>
    </w:p>
    <w:p w14:paraId="5ABB1473" w14:textId="77777777" w:rsidR="002B3158" w:rsidRPr="00B13CB9" w:rsidRDefault="00266F7C" w:rsidP="00A35BCA">
      <w:pPr>
        <w:pStyle w:val="Heading1"/>
        <w:rPr>
          <w:sz w:val="48"/>
          <w:szCs w:val="48"/>
        </w:rPr>
      </w:pPr>
      <w:bookmarkStart w:id="1" w:name="_Toc29451793"/>
      <w:r w:rsidRPr="00B13CB9">
        <w:rPr>
          <w:sz w:val="48"/>
          <w:szCs w:val="48"/>
        </w:rPr>
        <w:lastRenderedPageBreak/>
        <w:t>Assumption of Outstanding Claims Liabilities</w:t>
      </w:r>
      <w:bookmarkEnd w:id="1"/>
    </w:p>
    <w:p w14:paraId="5FECEEF1" w14:textId="77777777" w:rsidR="00466D61" w:rsidRDefault="00466D61" w:rsidP="00A35BCA">
      <w:pPr>
        <w:widowControl w:val="0"/>
        <w:suppressAutoHyphens/>
        <w:autoSpaceDE w:val="0"/>
        <w:autoSpaceDN w:val="0"/>
        <w:adjustRightInd w:val="0"/>
        <w:spacing w:after="120" w:line="276" w:lineRule="auto"/>
        <w:ind w:right="163"/>
        <w:textAlignment w:val="center"/>
        <w:rPr>
          <w:rFonts w:ascii="Source Sans Pro" w:eastAsia="MS Mincho" w:hAnsi="Source Sans Pro" w:cs="SourceSansPro-Light"/>
          <w:color w:val="000000"/>
          <w:szCs w:val="22"/>
          <w:lang w:val="en-US"/>
        </w:rPr>
      </w:pPr>
    </w:p>
    <w:p w14:paraId="560C6D9F" w14:textId="00CBB524" w:rsidR="00113DB7" w:rsidRPr="000776B3" w:rsidRDefault="00113DB7" w:rsidP="00A35BCA">
      <w:pPr>
        <w:widowControl w:val="0"/>
        <w:suppressAutoHyphens/>
        <w:autoSpaceDE w:val="0"/>
        <w:autoSpaceDN w:val="0"/>
        <w:adjustRightInd w:val="0"/>
        <w:spacing w:after="120" w:line="276" w:lineRule="auto"/>
        <w:ind w:right="163"/>
        <w:textAlignment w:val="center"/>
        <w:rPr>
          <w:rFonts w:ascii="Source Sans Pro" w:eastAsia="MS Mincho" w:hAnsi="Source Sans Pro" w:cs="SourceSansPro-Light"/>
          <w:color w:val="000000"/>
          <w:szCs w:val="22"/>
          <w:lang w:val="en-US"/>
        </w:rPr>
      </w:pPr>
      <w:r>
        <w:rPr>
          <w:rFonts w:ascii="Source Sans Pro" w:eastAsia="MS Mincho" w:hAnsi="Source Sans Pro" w:cs="SourceSansPro-Light"/>
          <w:color w:val="000000"/>
          <w:szCs w:val="22"/>
          <w:lang w:val="en-US"/>
        </w:rPr>
        <w:t>On the commencement of self-insurance, an employer becomes liable for all historic and future claim</w:t>
      </w:r>
      <w:r w:rsidR="004D44C8">
        <w:rPr>
          <w:rFonts w:ascii="Source Sans Pro" w:eastAsia="MS Mincho" w:hAnsi="Source Sans Pro" w:cs="SourceSansPro-Light"/>
          <w:color w:val="000000"/>
          <w:szCs w:val="22"/>
          <w:lang w:val="en-US"/>
        </w:rPr>
        <w:t>s</w:t>
      </w:r>
      <w:r>
        <w:rPr>
          <w:rFonts w:ascii="Source Sans Pro" w:eastAsia="MS Mincho" w:hAnsi="Source Sans Pro" w:cs="SourceSansPro-Light"/>
          <w:color w:val="000000"/>
          <w:szCs w:val="22"/>
          <w:lang w:val="en-US"/>
        </w:rPr>
        <w:t>. ReturnToWorkSA will determine if a payment associated with this liability transfer is payable from or to the employer.</w:t>
      </w:r>
    </w:p>
    <w:p w14:paraId="35D6518B" w14:textId="297D46F6" w:rsidR="005E6F70" w:rsidRDefault="000E7AB3" w:rsidP="00A35BCA">
      <w:pPr>
        <w:widowControl w:val="0"/>
        <w:suppressAutoHyphens/>
        <w:autoSpaceDE w:val="0"/>
        <w:autoSpaceDN w:val="0"/>
        <w:adjustRightInd w:val="0"/>
        <w:spacing w:after="120" w:line="276" w:lineRule="auto"/>
        <w:ind w:right="163"/>
        <w:textAlignment w:val="center"/>
        <w:rPr>
          <w:rFonts w:ascii="Source Sans Pro" w:eastAsia="MS Mincho" w:hAnsi="Source Sans Pro" w:cs="SourceSansPro-Light"/>
          <w:color w:val="000000"/>
          <w:szCs w:val="22"/>
          <w:lang w:val="en-US"/>
        </w:rPr>
      </w:pPr>
      <w:r w:rsidRPr="000E7AB3">
        <w:rPr>
          <w:rFonts w:ascii="Source Sans Pro" w:eastAsia="MS Mincho" w:hAnsi="Source Sans Pro" w:cs="SourceSansPro-Light"/>
          <w:color w:val="000000"/>
          <w:szCs w:val="22"/>
          <w:lang w:val="en-US"/>
        </w:rPr>
        <w:t>An employer considering an application for registration as a self-inured employer should be familiar with</w:t>
      </w:r>
      <w:r w:rsidR="008A158D">
        <w:rPr>
          <w:rFonts w:ascii="Source Sans Pro" w:eastAsia="MS Mincho" w:hAnsi="Source Sans Pro" w:cs="SourceSansPro-Light"/>
          <w:color w:val="000000"/>
          <w:szCs w:val="22"/>
          <w:lang w:val="en-US"/>
        </w:rPr>
        <w:t xml:space="preserve"> the</w:t>
      </w:r>
      <w:r w:rsidR="007E0A26">
        <w:rPr>
          <w:rFonts w:ascii="Source Sans Pro" w:eastAsia="MS Mincho" w:hAnsi="Source Sans Pro" w:cs="SourceSansPro-Light"/>
          <w:color w:val="000000"/>
          <w:szCs w:val="22"/>
          <w:lang w:val="en-US"/>
        </w:rPr>
        <w:t>:</w:t>
      </w:r>
    </w:p>
    <w:p w14:paraId="7A0300BB" w14:textId="1D77B528" w:rsidR="005E6F70" w:rsidRDefault="004D44C8" w:rsidP="00B13CB9">
      <w:pPr>
        <w:pStyle w:val="ListParagraph"/>
        <w:widowControl w:val="0"/>
        <w:numPr>
          <w:ilvl w:val="0"/>
          <w:numId w:val="14"/>
        </w:numPr>
        <w:suppressAutoHyphens/>
        <w:autoSpaceDE w:val="0"/>
        <w:autoSpaceDN w:val="0"/>
        <w:adjustRightInd w:val="0"/>
        <w:spacing w:after="120" w:line="276" w:lineRule="auto"/>
        <w:ind w:left="284" w:right="163" w:hanging="284"/>
        <w:textAlignment w:val="center"/>
        <w:rPr>
          <w:rFonts w:ascii="Source Sans Pro" w:eastAsia="MS Mincho" w:hAnsi="Source Sans Pro" w:cs="SourceSansPro-Light"/>
          <w:color w:val="000000"/>
          <w:szCs w:val="22"/>
          <w:lang w:val="en-US"/>
        </w:rPr>
      </w:pPr>
      <w:r w:rsidRPr="005E6F70">
        <w:rPr>
          <w:rFonts w:ascii="Source Sans Pro" w:eastAsia="MS Mincho" w:hAnsi="Source Sans Pro" w:cs="SourceSansPro-Light"/>
          <w:color w:val="000000"/>
          <w:szCs w:val="22"/>
          <w:lang w:val="en-US"/>
        </w:rPr>
        <w:t>I</w:t>
      </w:r>
      <w:r w:rsidR="000E7AB3" w:rsidRPr="005E6F70">
        <w:rPr>
          <w:rFonts w:ascii="Source Sans Pro" w:eastAsia="MS Mincho" w:hAnsi="Source Sans Pro" w:cs="SourceSansPro-Light"/>
          <w:color w:val="000000"/>
          <w:szCs w:val="22"/>
          <w:lang w:val="en-US"/>
        </w:rPr>
        <w:t>ncidence</w:t>
      </w:r>
      <w:r>
        <w:rPr>
          <w:rFonts w:ascii="Source Sans Pro" w:eastAsia="MS Mincho" w:hAnsi="Source Sans Pro" w:cs="SourceSansPro-Light"/>
          <w:color w:val="000000"/>
          <w:szCs w:val="22"/>
          <w:lang w:val="en-US"/>
        </w:rPr>
        <w:t xml:space="preserve"> (transfer)</w:t>
      </w:r>
      <w:r w:rsidR="000E7AB3" w:rsidRPr="005E6F70">
        <w:rPr>
          <w:rFonts w:ascii="Source Sans Pro" w:eastAsia="MS Mincho" w:hAnsi="Source Sans Pro" w:cs="SourceSansPro-Light"/>
          <w:color w:val="000000"/>
          <w:szCs w:val="22"/>
          <w:lang w:val="en-US"/>
        </w:rPr>
        <w:t xml:space="preserve"> of liability requirements contained within the </w:t>
      </w:r>
      <w:r w:rsidR="000E7AB3" w:rsidRPr="00B13CB9">
        <w:rPr>
          <w:rFonts w:ascii="Source Sans Pro" w:eastAsia="MS Mincho" w:hAnsi="Source Sans Pro" w:cs="SourceSansPro-Light"/>
          <w:i/>
          <w:color w:val="000000"/>
          <w:szCs w:val="22"/>
          <w:lang w:val="en-US"/>
        </w:rPr>
        <w:t>Return to Work Act 20</w:t>
      </w:r>
      <w:r w:rsidR="006403D6" w:rsidRPr="00B13CB9">
        <w:rPr>
          <w:rFonts w:ascii="Source Sans Pro" w:eastAsia="MS Mincho" w:hAnsi="Source Sans Pro" w:cs="SourceSansPro-Light"/>
          <w:i/>
          <w:color w:val="000000"/>
          <w:szCs w:val="22"/>
          <w:lang w:val="en-US"/>
        </w:rPr>
        <w:t>14</w:t>
      </w:r>
      <w:r w:rsidR="006403D6" w:rsidRPr="005E6F70">
        <w:rPr>
          <w:rFonts w:ascii="Source Sans Pro" w:eastAsia="MS Mincho" w:hAnsi="Source Sans Pro" w:cs="SourceSansPro-Light"/>
          <w:color w:val="000000"/>
          <w:szCs w:val="22"/>
          <w:lang w:val="en-US"/>
        </w:rPr>
        <w:t xml:space="preserve"> (the Act)</w:t>
      </w:r>
    </w:p>
    <w:p w14:paraId="604011D3" w14:textId="27A6BD73" w:rsidR="005E6F70" w:rsidRDefault="005E6F70" w:rsidP="00B13CB9">
      <w:pPr>
        <w:pStyle w:val="ListParagraph"/>
        <w:widowControl w:val="0"/>
        <w:numPr>
          <w:ilvl w:val="0"/>
          <w:numId w:val="14"/>
        </w:numPr>
        <w:suppressAutoHyphens/>
        <w:autoSpaceDE w:val="0"/>
        <w:autoSpaceDN w:val="0"/>
        <w:adjustRightInd w:val="0"/>
        <w:spacing w:after="120" w:line="276" w:lineRule="auto"/>
        <w:ind w:left="284" w:right="163" w:hanging="284"/>
        <w:textAlignment w:val="center"/>
        <w:rPr>
          <w:rFonts w:ascii="Source Sans Pro" w:eastAsia="MS Mincho" w:hAnsi="Source Sans Pro" w:cs="SourceSansPro-Light"/>
          <w:color w:val="000000"/>
          <w:szCs w:val="22"/>
          <w:lang w:val="en-US"/>
        </w:rPr>
      </w:pPr>
      <w:r>
        <w:rPr>
          <w:rFonts w:ascii="Source Sans Pro" w:eastAsia="MS Mincho" w:hAnsi="Source Sans Pro" w:cs="SourceSansPro-Light"/>
          <w:color w:val="000000"/>
          <w:szCs w:val="22"/>
          <w:lang w:val="en-US"/>
        </w:rPr>
        <w:t xml:space="preserve">risks associated with the </w:t>
      </w:r>
      <w:r w:rsidR="00E07CDF">
        <w:rPr>
          <w:rFonts w:ascii="Source Sans Pro" w:eastAsia="MS Mincho" w:hAnsi="Source Sans Pro" w:cs="SourceSansPro-Light"/>
          <w:color w:val="000000"/>
          <w:szCs w:val="22"/>
          <w:lang w:val="en-US"/>
        </w:rPr>
        <w:t xml:space="preserve">assumption </w:t>
      </w:r>
      <w:r>
        <w:rPr>
          <w:rFonts w:ascii="Source Sans Pro" w:eastAsia="MS Mincho" w:hAnsi="Source Sans Pro" w:cs="SourceSansPro-Light"/>
          <w:color w:val="000000"/>
          <w:szCs w:val="22"/>
          <w:lang w:val="en-US"/>
        </w:rPr>
        <w:t>of claims liabilities on registra</w:t>
      </w:r>
      <w:r w:rsidR="008C572A">
        <w:rPr>
          <w:rFonts w:ascii="Source Sans Pro" w:eastAsia="MS Mincho" w:hAnsi="Source Sans Pro" w:cs="SourceSansPro-Light"/>
          <w:color w:val="000000"/>
          <w:szCs w:val="22"/>
          <w:lang w:val="en-US"/>
        </w:rPr>
        <w:t xml:space="preserve">tion as a </w:t>
      </w:r>
      <w:r w:rsidR="005C6092">
        <w:rPr>
          <w:rFonts w:ascii="Source Sans Pro" w:eastAsia="MS Mincho" w:hAnsi="Source Sans Pro" w:cs="SourceSansPro-Light"/>
          <w:color w:val="000000"/>
          <w:szCs w:val="22"/>
          <w:lang w:val="en-US"/>
        </w:rPr>
        <w:t>Self-insured employer</w:t>
      </w:r>
    </w:p>
    <w:p w14:paraId="14F8AA4A" w14:textId="5DA5E18A" w:rsidR="000E7AB3" w:rsidRDefault="00CA6460" w:rsidP="00B13CB9">
      <w:pPr>
        <w:pStyle w:val="ListParagraph"/>
        <w:widowControl w:val="0"/>
        <w:numPr>
          <w:ilvl w:val="0"/>
          <w:numId w:val="14"/>
        </w:numPr>
        <w:suppressAutoHyphens/>
        <w:autoSpaceDE w:val="0"/>
        <w:autoSpaceDN w:val="0"/>
        <w:adjustRightInd w:val="0"/>
        <w:spacing w:after="120" w:line="276" w:lineRule="auto"/>
        <w:ind w:left="284" w:right="163" w:hanging="284"/>
        <w:textAlignment w:val="center"/>
        <w:rPr>
          <w:rFonts w:ascii="Source Sans Pro" w:eastAsia="MS Mincho" w:hAnsi="Source Sans Pro" w:cs="SourceSansPro-Light"/>
          <w:color w:val="000000"/>
          <w:szCs w:val="22"/>
          <w:lang w:val="en-US"/>
        </w:rPr>
      </w:pPr>
      <w:r w:rsidRPr="005E6F70">
        <w:rPr>
          <w:rFonts w:ascii="Source Sans Pro" w:eastAsia="MS Mincho" w:hAnsi="Source Sans Pro" w:cs="SourceSansPro-Light"/>
          <w:color w:val="000000"/>
          <w:szCs w:val="22"/>
          <w:lang w:val="en-US"/>
        </w:rPr>
        <w:t>Process</w:t>
      </w:r>
      <w:r w:rsidR="006403D6" w:rsidRPr="005E6F70">
        <w:rPr>
          <w:rFonts w:ascii="Source Sans Pro" w:eastAsia="MS Mincho" w:hAnsi="Source Sans Pro" w:cs="SourceSansPro-Light"/>
          <w:color w:val="000000"/>
          <w:szCs w:val="22"/>
          <w:lang w:val="en-US"/>
        </w:rPr>
        <w:t xml:space="preserve"> for calculating </w:t>
      </w:r>
      <w:r w:rsidR="005E6F70" w:rsidRPr="005E6F70">
        <w:rPr>
          <w:rFonts w:ascii="Source Sans Pro" w:eastAsia="MS Mincho" w:hAnsi="Source Sans Pro" w:cs="SourceSansPro-Light"/>
          <w:color w:val="000000"/>
          <w:szCs w:val="22"/>
          <w:lang w:val="en-US"/>
        </w:rPr>
        <w:t xml:space="preserve">the value of </w:t>
      </w:r>
      <w:r w:rsidR="005E6F70">
        <w:rPr>
          <w:rFonts w:ascii="Source Sans Pro" w:eastAsia="MS Mincho" w:hAnsi="Source Sans Pro" w:cs="SourceSansPro-Light"/>
          <w:color w:val="000000"/>
          <w:szCs w:val="22"/>
          <w:lang w:val="en-US"/>
        </w:rPr>
        <w:t>a liability transfer payment</w:t>
      </w:r>
      <w:r w:rsidR="008C572A">
        <w:rPr>
          <w:rFonts w:ascii="Source Sans Pro" w:eastAsia="MS Mincho" w:hAnsi="Source Sans Pro" w:cs="SourceSansPro-Light"/>
          <w:color w:val="000000"/>
          <w:szCs w:val="22"/>
          <w:lang w:val="en-US"/>
        </w:rPr>
        <w:t>.</w:t>
      </w:r>
    </w:p>
    <w:p w14:paraId="0DEC8DFB" w14:textId="77777777" w:rsidR="00A35BCA" w:rsidRDefault="00A35BCA" w:rsidP="00B13CB9">
      <w:pPr>
        <w:pStyle w:val="ListParagraph"/>
        <w:widowControl w:val="0"/>
        <w:suppressAutoHyphens/>
        <w:autoSpaceDE w:val="0"/>
        <w:autoSpaceDN w:val="0"/>
        <w:adjustRightInd w:val="0"/>
        <w:spacing w:after="120" w:line="276" w:lineRule="auto"/>
        <w:ind w:left="0" w:right="163"/>
        <w:textAlignment w:val="center"/>
        <w:rPr>
          <w:rFonts w:ascii="Source Sans Pro" w:eastAsia="MS Mincho" w:hAnsi="Source Sans Pro" w:cs="SourceSansPro-Light"/>
          <w:color w:val="000000"/>
          <w:szCs w:val="22"/>
          <w:lang w:val="en-US"/>
        </w:rPr>
      </w:pPr>
    </w:p>
    <w:p w14:paraId="22A99C2C" w14:textId="77777777" w:rsidR="008B226E" w:rsidRDefault="008B226E" w:rsidP="00B13CB9">
      <w:pPr>
        <w:pStyle w:val="GuideStyle"/>
        <w:shd w:val="clear" w:color="auto" w:fill="E3E87D" w:themeFill="accent3" w:themeFillTint="99"/>
        <w:ind w:right="163"/>
        <w:rPr>
          <w:rFonts w:eastAsia="MS Mincho"/>
          <w:lang w:val="en-US"/>
        </w:rPr>
      </w:pPr>
      <w:r>
        <w:rPr>
          <w:rFonts w:eastAsia="MS Mincho"/>
          <w:lang w:val="en-US"/>
        </w:rPr>
        <w:t xml:space="preserve">Employers insured under the Retro Paid Loss (RPL) scheme should contact the Premium Specialists at ReturnToWorkSA at </w:t>
      </w:r>
      <w:hyperlink r:id="rId15" w:history="1">
        <w:r w:rsidRPr="0010601A">
          <w:rPr>
            <w:rStyle w:val="Hyperlink"/>
            <w:rFonts w:eastAsia="MS Mincho"/>
            <w:lang w:val="en-US"/>
          </w:rPr>
          <w:t>PremiumSpecialist@rtwsa.com</w:t>
        </w:r>
      </w:hyperlink>
      <w:r>
        <w:rPr>
          <w:rFonts w:eastAsia="MS Mincho"/>
          <w:lang w:val="en-US"/>
        </w:rPr>
        <w:t xml:space="preserve"> for information on the impact of transition to Self-insurance on its RPL premium calculation.</w:t>
      </w:r>
    </w:p>
    <w:p w14:paraId="5FD8FBCE" w14:textId="77777777" w:rsidR="008B226E" w:rsidRDefault="008B226E" w:rsidP="00B13CB9">
      <w:pPr>
        <w:widowControl w:val="0"/>
        <w:suppressAutoHyphens/>
        <w:autoSpaceDE w:val="0"/>
        <w:autoSpaceDN w:val="0"/>
        <w:adjustRightInd w:val="0"/>
        <w:spacing w:after="120" w:line="276" w:lineRule="auto"/>
        <w:ind w:left="-567" w:right="163"/>
        <w:textAlignment w:val="center"/>
        <w:rPr>
          <w:rFonts w:ascii="Source Sans Pro" w:eastAsia="MS Mincho" w:hAnsi="Source Sans Pro" w:cs="SourceSansPro-Light"/>
          <w:color w:val="000000"/>
          <w:szCs w:val="22"/>
          <w:lang w:val="en-US"/>
        </w:rPr>
      </w:pPr>
    </w:p>
    <w:p w14:paraId="4C177B99" w14:textId="77777777" w:rsidR="000E7AB3" w:rsidRPr="002B00BC" w:rsidRDefault="000E7AB3" w:rsidP="00A35BCA">
      <w:pPr>
        <w:pStyle w:val="Heading4"/>
        <w:rPr>
          <w:i w:val="0"/>
        </w:rPr>
      </w:pPr>
      <w:r w:rsidRPr="002B00BC">
        <w:rPr>
          <w:i w:val="0"/>
        </w:rPr>
        <w:t>Feasibility</w:t>
      </w:r>
      <w:r w:rsidR="008C572A">
        <w:rPr>
          <w:i w:val="0"/>
        </w:rPr>
        <w:t xml:space="preserve"> Study</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7289"/>
      </w:tblGrid>
      <w:tr w:rsidR="00A35BCA" w:rsidRPr="007E0A26" w14:paraId="0F133C62" w14:textId="77777777" w:rsidTr="00A35BCA">
        <w:trPr>
          <w:trHeight w:val="3061"/>
        </w:trPr>
        <w:tc>
          <w:tcPr>
            <w:tcW w:w="982" w:type="pct"/>
            <w:shd w:val="clear" w:color="auto" w:fill="E3E87D" w:themeFill="accent3" w:themeFillTint="99"/>
          </w:tcPr>
          <w:p w14:paraId="3BED7B84" w14:textId="77777777" w:rsidR="000E7AB3" w:rsidRPr="00847AC2" w:rsidRDefault="000E7AB3" w:rsidP="00905A2E">
            <w:pPr>
              <w:pStyle w:val="Bullet1"/>
              <w:numPr>
                <w:ilvl w:val="0"/>
                <w:numId w:val="0"/>
              </w:numPr>
              <w:ind w:left="35" w:right="163"/>
              <w:jc w:val="both"/>
            </w:pPr>
            <w:r>
              <w:t>Study considerations</w:t>
            </w:r>
          </w:p>
        </w:tc>
        <w:tc>
          <w:tcPr>
            <w:tcW w:w="4018" w:type="pct"/>
          </w:tcPr>
          <w:p w14:paraId="20A8561D" w14:textId="254B42A2" w:rsidR="008C572A" w:rsidRPr="00CA6460" w:rsidRDefault="008C572A" w:rsidP="00CA6460">
            <w:pPr>
              <w:widowControl w:val="0"/>
              <w:suppressAutoHyphens/>
              <w:autoSpaceDE w:val="0"/>
              <w:autoSpaceDN w:val="0"/>
              <w:adjustRightInd w:val="0"/>
              <w:spacing w:after="120"/>
              <w:ind w:right="163"/>
              <w:textAlignment w:val="center"/>
              <w:rPr>
                <w:rFonts w:ascii="Source Sans Pro" w:eastAsia="MS Mincho" w:hAnsi="Source Sans Pro" w:cs="SourceSansPro-Light"/>
                <w:color w:val="000000"/>
                <w:lang w:val="en-US"/>
              </w:rPr>
            </w:pPr>
            <w:r w:rsidRPr="00CA6460">
              <w:rPr>
                <w:rFonts w:ascii="Source Sans Pro" w:eastAsia="MS Mincho" w:hAnsi="Source Sans Pro" w:cs="SourceSansPro-Light"/>
                <w:color w:val="000000"/>
                <w:lang w:val="en-US"/>
              </w:rPr>
              <w:t xml:space="preserve">ReturnToWorkSA recommends an employer considering an application </w:t>
            </w:r>
            <w:r w:rsidR="00DD12ED" w:rsidRPr="00CA6460">
              <w:rPr>
                <w:rFonts w:ascii="Source Sans Pro" w:eastAsia="MS Mincho" w:hAnsi="Source Sans Pro" w:cs="SourceSansPro-Light"/>
                <w:color w:val="000000"/>
                <w:lang w:val="en-US"/>
              </w:rPr>
              <w:t xml:space="preserve">to register </w:t>
            </w:r>
            <w:r w:rsidRPr="00CA6460">
              <w:rPr>
                <w:rFonts w:ascii="Source Sans Pro" w:eastAsia="MS Mincho" w:hAnsi="Source Sans Pro" w:cs="SourceSansPro-Light"/>
                <w:color w:val="000000"/>
                <w:lang w:val="en-US"/>
              </w:rPr>
              <w:t xml:space="preserve">as a </w:t>
            </w:r>
            <w:r w:rsidR="005C6092">
              <w:rPr>
                <w:rFonts w:ascii="Source Sans Pro" w:eastAsia="MS Mincho" w:hAnsi="Source Sans Pro" w:cs="SourceSansPro-Light"/>
                <w:color w:val="000000"/>
                <w:lang w:val="en-US"/>
              </w:rPr>
              <w:t>Self-insured employer</w:t>
            </w:r>
            <w:r w:rsidRPr="00CA6460">
              <w:rPr>
                <w:rFonts w:ascii="Source Sans Pro" w:eastAsia="MS Mincho" w:hAnsi="Source Sans Pro" w:cs="SourceSansPro-Light"/>
                <w:color w:val="000000"/>
                <w:lang w:val="en-US"/>
              </w:rPr>
              <w:t xml:space="preserve"> undertake a feasibility study</w:t>
            </w:r>
            <w:r w:rsidR="00CA6460" w:rsidRPr="00CA6460">
              <w:rPr>
                <w:rFonts w:ascii="Source Sans Pro" w:eastAsia="MS Mincho" w:hAnsi="Source Sans Pro" w:cs="SourceSansPro-Light"/>
                <w:color w:val="000000"/>
                <w:lang w:val="en-US"/>
              </w:rPr>
              <w:t>.</w:t>
            </w:r>
          </w:p>
          <w:p w14:paraId="74FC643C" w14:textId="77777777" w:rsidR="000E7AB3" w:rsidRPr="00CA6460" w:rsidRDefault="000E7AB3" w:rsidP="00CA6460">
            <w:pPr>
              <w:widowControl w:val="0"/>
              <w:suppressAutoHyphens/>
              <w:autoSpaceDE w:val="0"/>
              <w:autoSpaceDN w:val="0"/>
              <w:adjustRightInd w:val="0"/>
              <w:spacing w:after="120"/>
              <w:ind w:right="163"/>
              <w:textAlignment w:val="center"/>
              <w:rPr>
                <w:rFonts w:ascii="Source Sans Pro" w:eastAsia="MS Mincho" w:hAnsi="Source Sans Pro" w:cs="SourceSansPro-Light"/>
                <w:color w:val="000000"/>
                <w:lang w:val="en-US"/>
              </w:rPr>
            </w:pPr>
            <w:r w:rsidRPr="00CA6460">
              <w:rPr>
                <w:rFonts w:ascii="Source Sans Pro" w:eastAsia="MS Mincho" w:hAnsi="Source Sans Pro" w:cs="SourceSansPro-Light"/>
                <w:color w:val="000000"/>
                <w:lang w:val="en-US"/>
              </w:rPr>
              <w:t xml:space="preserve">The employer should consider assessing within </w:t>
            </w:r>
            <w:r w:rsidR="005E6F70" w:rsidRPr="00CA6460">
              <w:rPr>
                <w:rFonts w:ascii="Source Sans Pro" w:eastAsia="MS Mincho" w:hAnsi="Source Sans Pro" w:cs="SourceSansPro-Light"/>
                <w:color w:val="000000"/>
                <w:lang w:val="en-US"/>
              </w:rPr>
              <w:t>its</w:t>
            </w:r>
            <w:r w:rsidR="00F45150" w:rsidRPr="00CA6460">
              <w:rPr>
                <w:rFonts w:ascii="Source Sans Pro" w:eastAsia="MS Mincho" w:hAnsi="Source Sans Pro" w:cs="SourceSansPro-Light"/>
                <w:color w:val="000000"/>
                <w:lang w:val="en-US"/>
              </w:rPr>
              <w:t xml:space="preserve"> feasibility study the:</w:t>
            </w:r>
          </w:p>
          <w:p w14:paraId="119E3980" w14:textId="77777777" w:rsidR="005E6F70" w:rsidRPr="007E0A26" w:rsidRDefault="005E6F70" w:rsidP="00CA6460">
            <w:pPr>
              <w:pStyle w:val="ListParagraph"/>
              <w:widowControl w:val="0"/>
              <w:numPr>
                <w:ilvl w:val="0"/>
                <w:numId w:val="5"/>
              </w:numPr>
              <w:suppressAutoHyphens/>
              <w:autoSpaceDE w:val="0"/>
              <w:autoSpaceDN w:val="0"/>
              <w:adjustRightInd w:val="0"/>
              <w:spacing w:after="120"/>
              <w:ind w:left="284" w:right="163" w:hanging="284"/>
              <w:textAlignment w:val="center"/>
              <w:rPr>
                <w:rFonts w:ascii="Source Sans Pro" w:eastAsia="MS Mincho" w:hAnsi="Source Sans Pro" w:cs="SourceSansPro-Light"/>
                <w:color w:val="000000"/>
                <w:szCs w:val="22"/>
                <w:lang w:val="en-US"/>
              </w:rPr>
            </w:pPr>
            <w:r w:rsidRPr="007E0A26">
              <w:rPr>
                <w:rFonts w:ascii="Source Sans Pro" w:eastAsia="MS Mincho" w:hAnsi="Source Sans Pro" w:cs="SourceSansPro-Light"/>
                <w:color w:val="000000"/>
                <w:szCs w:val="22"/>
                <w:lang w:val="en-US"/>
              </w:rPr>
              <w:t>risks</w:t>
            </w:r>
            <w:r w:rsidR="007E0A26" w:rsidRPr="007E0A26">
              <w:rPr>
                <w:rFonts w:ascii="Source Sans Pro" w:eastAsia="MS Mincho" w:hAnsi="Source Sans Pro" w:cs="SourceSansPro-Light"/>
                <w:color w:val="000000"/>
                <w:szCs w:val="22"/>
                <w:lang w:val="en-US"/>
              </w:rPr>
              <w:t xml:space="preserve"> and benefits of self-insurance</w:t>
            </w:r>
          </w:p>
          <w:p w14:paraId="7E10A5F5" w14:textId="77777777" w:rsidR="000E7AB3" w:rsidRPr="007E0A26" w:rsidRDefault="000E7AB3" w:rsidP="00CA6460">
            <w:pPr>
              <w:pStyle w:val="ListParagraph"/>
              <w:widowControl w:val="0"/>
              <w:numPr>
                <w:ilvl w:val="0"/>
                <w:numId w:val="5"/>
              </w:numPr>
              <w:suppressAutoHyphens/>
              <w:autoSpaceDE w:val="0"/>
              <w:autoSpaceDN w:val="0"/>
              <w:adjustRightInd w:val="0"/>
              <w:spacing w:after="120"/>
              <w:ind w:left="284" w:right="163" w:hanging="284"/>
              <w:textAlignment w:val="center"/>
              <w:rPr>
                <w:rFonts w:ascii="Source Sans Pro" w:eastAsia="MS Mincho" w:hAnsi="Source Sans Pro" w:cs="SourceSansPro-Light"/>
                <w:color w:val="000000"/>
                <w:szCs w:val="22"/>
                <w:lang w:val="en-US"/>
              </w:rPr>
            </w:pPr>
            <w:r w:rsidRPr="007E0A26">
              <w:rPr>
                <w:rFonts w:ascii="Source Sans Pro" w:eastAsia="MS Mincho" w:hAnsi="Source Sans Pro" w:cs="SourceSansPro-Light"/>
                <w:color w:val="000000"/>
                <w:szCs w:val="22"/>
                <w:lang w:val="en-US"/>
              </w:rPr>
              <w:t xml:space="preserve">liabilities the employer will undertake on becoming self-insured </w:t>
            </w:r>
          </w:p>
          <w:p w14:paraId="5FBBACA0" w14:textId="77777777" w:rsidR="000E7AB3" w:rsidRPr="007E0A26" w:rsidRDefault="000E7AB3" w:rsidP="00CA6460">
            <w:pPr>
              <w:pStyle w:val="ListParagraph"/>
              <w:widowControl w:val="0"/>
              <w:numPr>
                <w:ilvl w:val="0"/>
                <w:numId w:val="5"/>
              </w:numPr>
              <w:suppressAutoHyphens/>
              <w:autoSpaceDE w:val="0"/>
              <w:autoSpaceDN w:val="0"/>
              <w:adjustRightInd w:val="0"/>
              <w:spacing w:after="120"/>
              <w:ind w:left="284" w:right="163" w:hanging="284"/>
              <w:textAlignment w:val="center"/>
              <w:rPr>
                <w:rFonts w:ascii="Source Sans Pro" w:eastAsia="MS Mincho" w:hAnsi="Source Sans Pro" w:cs="SourceSansPro-Light"/>
                <w:color w:val="000000"/>
                <w:szCs w:val="22"/>
                <w:lang w:val="en-US"/>
              </w:rPr>
            </w:pPr>
            <w:r w:rsidRPr="007E0A26">
              <w:rPr>
                <w:rFonts w:ascii="Source Sans Pro" w:eastAsia="MS Mincho" w:hAnsi="Source Sans Pro" w:cs="SourceSansPro-Light"/>
                <w:color w:val="000000"/>
                <w:szCs w:val="22"/>
                <w:lang w:val="en-US"/>
              </w:rPr>
              <w:t>payment that may be made in connection with the assumption of those liabilities</w:t>
            </w:r>
          </w:p>
          <w:p w14:paraId="3DDA6372" w14:textId="4163F9ED" w:rsidR="000E7AB3" w:rsidRPr="00D6544D" w:rsidRDefault="00575050" w:rsidP="00CA6460">
            <w:pPr>
              <w:pStyle w:val="ListParagraph"/>
              <w:widowControl w:val="0"/>
              <w:numPr>
                <w:ilvl w:val="0"/>
                <w:numId w:val="5"/>
              </w:numPr>
              <w:suppressAutoHyphens/>
              <w:autoSpaceDE w:val="0"/>
              <w:autoSpaceDN w:val="0"/>
              <w:adjustRightInd w:val="0"/>
              <w:spacing w:after="120"/>
              <w:ind w:left="284" w:right="163" w:hanging="284"/>
              <w:textAlignment w:val="center"/>
              <w:rPr>
                <w:rFonts w:ascii="Source Sans Pro" w:eastAsia="MS Mincho" w:hAnsi="Source Sans Pro" w:cs="SourceSansPro-Light"/>
                <w:color w:val="000000"/>
                <w:szCs w:val="22"/>
                <w:lang w:val="en-US"/>
              </w:rPr>
            </w:pPr>
            <w:r w:rsidRPr="00B13CB9">
              <w:rPr>
                <w:rFonts w:ascii="Source Sans Pro" w:eastAsia="MS Mincho" w:hAnsi="Source Sans Pro" w:cs="SourceSansPro-Light"/>
                <w:color w:val="000000"/>
                <w:szCs w:val="22"/>
                <w:u w:val="single" w:color="C00000"/>
                <w:lang w:val="en-US"/>
              </w:rPr>
              <w:fldChar w:fldCharType="begin"/>
            </w:r>
            <w:r w:rsidRPr="00B13CB9">
              <w:rPr>
                <w:rFonts w:ascii="Source Sans Pro" w:eastAsia="MS Mincho" w:hAnsi="Source Sans Pro" w:cs="SourceSansPro-Light"/>
                <w:color w:val="000000"/>
                <w:szCs w:val="22"/>
                <w:u w:val="single" w:color="C00000"/>
                <w:lang w:val="en-US"/>
              </w:rPr>
              <w:instrText xml:space="preserve"> REF Net_Premium_Position \h  \* MERGEFORMAT </w:instrText>
            </w:r>
            <w:r w:rsidRPr="00B13CB9">
              <w:rPr>
                <w:rFonts w:ascii="Source Sans Pro" w:eastAsia="MS Mincho" w:hAnsi="Source Sans Pro" w:cs="SourceSansPro-Light"/>
                <w:color w:val="000000"/>
                <w:szCs w:val="22"/>
                <w:u w:val="single" w:color="C00000"/>
                <w:lang w:val="en-US"/>
              </w:rPr>
            </w:r>
            <w:r w:rsidRPr="00B13CB9">
              <w:rPr>
                <w:rFonts w:ascii="Source Sans Pro" w:eastAsia="MS Mincho" w:hAnsi="Source Sans Pro" w:cs="SourceSansPro-Light"/>
                <w:color w:val="000000"/>
                <w:szCs w:val="22"/>
                <w:u w:val="single" w:color="C00000"/>
                <w:lang w:val="en-US"/>
              </w:rPr>
              <w:fldChar w:fldCharType="separate"/>
            </w:r>
            <w:r w:rsidR="00EE054B" w:rsidRPr="00EE054B">
              <w:rPr>
                <w:rFonts w:ascii="Source Sans Pro" w:eastAsia="MS Mincho" w:hAnsi="Source Sans Pro" w:cs="SourceSansPro-Light"/>
                <w:color w:val="000000"/>
                <w:szCs w:val="22"/>
                <w:u w:val="single" w:color="C00000"/>
                <w:lang w:val="en-US"/>
              </w:rPr>
              <w:t>Net Premium Position</w:t>
            </w:r>
            <w:r w:rsidRPr="00B13CB9">
              <w:rPr>
                <w:rFonts w:ascii="Source Sans Pro" w:eastAsia="MS Mincho" w:hAnsi="Source Sans Pro" w:cs="SourceSansPro-Light"/>
                <w:color w:val="000000"/>
                <w:szCs w:val="22"/>
                <w:u w:val="single" w:color="C00000"/>
                <w:lang w:val="en-US"/>
              </w:rPr>
              <w:fldChar w:fldCharType="end"/>
            </w:r>
            <w:r w:rsidRPr="00D6544D">
              <w:rPr>
                <w:rFonts w:ascii="Source Sans Pro" w:eastAsia="MS Mincho" w:hAnsi="Source Sans Pro" w:cs="SourceSansPro-Light"/>
                <w:color w:val="000000"/>
                <w:szCs w:val="22"/>
                <w:lang w:val="en-US"/>
              </w:rPr>
              <w:t xml:space="preserve"> </w:t>
            </w:r>
            <w:r w:rsidR="000E7AB3" w:rsidRPr="00D6544D">
              <w:rPr>
                <w:rFonts w:ascii="Source Sans Pro" w:eastAsia="MS Mincho" w:hAnsi="Source Sans Pro" w:cs="SourceSansPro-Light"/>
                <w:color w:val="000000"/>
                <w:szCs w:val="22"/>
                <w:lang w:val="en-US"/>
              </w:rPr>
              <w:t>applied to any payment made to an employer to assume outstanding claims</w:t>
            </w:r>
          </w:p>
          <w:p w14:paraId="32615BEF" w14:textId="70F029DE" w:rsidR="000E7AB3" w:rsidRDefault="003C6312" w:rsidP="00CA6460">
            <w:pPr>
              <w:pStyle w:val="ListParagraph"/>
              <w:widowControl w:val="0"/>
              <w:numPr>
                <w:ilvl w:val="0"/>
                <w:numId w:val="5"/>
              </w:numPr>
              <w:suppressAutoHyphens/>
              <w:autoSpaceDE w:val="0"/>
              <w:autoSpaceDN w:val="0"/>
              <w:adjustRightInd w:val="0"/>
              <w:spacing w:after="120"/>
              <w:ind w:left="284" w:right="163" w:hanging="284"/>
              <w:textAlignment w:val="center"/>
              <w:rPr>
                <w:rFonts w:ascii="Source Sans Pro" w:eastAsia="MS Mincho" w:hAnsi="Source Sans Pro" w:cs="SourceSansPro-Light"/>
                <w:color w:val="000000"/>
                <w:szCs w:val="22"/>
                <w:lang w:val="en-US"/>
              </w:rPr>
            </w:pPr>
            <w:proofErr w:type="gramStart"/>
            <w:r>
              <w:rPr>
                <w:rFonts w:ascii="Source Sans Pro" w:eastAsia="MS Mincho" w:hAnsi="Source Sans Pro" w:cs="SourceSansPro-Light"/>
                <w:color w:val="000000"/>
                <w:szCs w:val="22"/>
                <w:lang w:val="en-US"/>
              </w:rPr>
              <w:t>n</w:t>
            </w:r>
            <w:r w:rsidR="008A158D" w:rsidRPr="007E0A26">
              <w:rPr>
                <w:rFonts w:ascii="Source Sans Pro" w:eastAsia="MS Mincho" w:hAnsi="Source Sans Pro" w:cs="SourceSansPro-Light"/>
                <w:color w:val="000000"/>
                <w:szCs w:val="22"/>
                <w:lang w:val="en-US"/>
              </w:rPr>
              <w:t>ature</w:t>
            </w:r>
            <w:proofErr w:type="gramEnd"/>
            <w:r w:rsidR="000E7AB3" w:rsidRPr="007E0A26">
              <w:rPr>
                <w:rFonts w:ascii="Source Sans Pro" w:eastAsia="MS Mincho" w:hAnsi="Source Sans Pro" w:cs="SourceSansPro-Light"/>
                <w:color w:val="000000"/>
                <w:szCs w:val="22"/>
                <w:lang w:val="en-US"/>
              </w:rPr>
              <w:t xml:space="preserve"> and extent of its claims history, </w:t>
            </w:r>
            <w:r w:rsidR="007153DE" w:rsidRPr="007E0A26">
              <w:rPr>
                <w:rFonts w:ascii="Source Sans Pro" w:eastAsia="MS Mincho" w:hAnsi="Source Sans Pro" w:cs="SourceSansPro-Light"/>
                <w:color w:val="000000"/>
                <w:szCs w:val="22"/>
                <w:lang w:val="en-US"/>
              </w:rPr>
              <w:t>including serious</w:t>
            </w:r>
            <w:r w:rsidR="000E7AB3" w:rsidRPr="007E0A26">
              <w:rPr>
                <w:rFonts w:ascii="Source Sans Pro" w:eastAsia="MS Mincho" w:hAnsi="Source Sans Pro" w:cs="SourceSansPro-Light"/>
                <w:color w:val="000000"/>
                <w:szCs w:val="22"/>
                <w:lang w:val="en-US"/>
              </w:rPr>
              <w:t xml:space="preserve"> injury </w:t>
            </w:r>
            <w:r w:rsidR="00E65B1C" w:rsidRPr="007E0A26">
              <w:rPr>
                <w:rFonts w:ascii="Source Sans Pro" w:eastAsia="MS Mincho" w:hAnsi="Source Sans Pro" w:cs="SourceSansPro-Light"/>
                <w:color w:val="000000"/>
                <w:szCs w:val="22"/>
                <w:lang w:val="en-US"/>
              </w:rPr>
              <w:t>claims.</w:t>
            </w:r>
          </w:p>
          <w:p w14:paraId="7E25E6C6" w14:textId="6847F43F" w:rsidR="00CA6460" w:rsidRPr="00CA6460" w:rsidRDefault="00CA6460" w:rsidP="00CA6460">
            <w:pPr>
              <w:widowControl w:val="0"/>
              <w:suppressAutoHyphens/>
              <w:autoSpaceDE w:val="0"/>
              <w:autoSpaceDN w:val="0"/>
              <w:adjustRightInd w:val="0"/>
              <w:spacing w:after="120"/>
              <w:ind w:right="163"/>
              <w:textAlignment w:val="center"/>
              <w:rPr>
                <w:rFonts w:ascii="Source Sans Pro" w:eastAsia="MS Mincho" w:hAnsi="Source Sans Pro" w:cs="SourceSansPro-Light"/>
                <w:color w:val="000000"/>
                <w:szCs w:val="22"/>
                <w:lang w:val="en-US"/>
              </w:rPr>
            </w:pPr>
            <w:r w:rsidRPr="00CA6460">
              <w:rPr>
                <w:rFonts w:ascii="Source Sans Pro" w:eastAsia="MS Mincho" w:hAnsi="Source Sans Pro" w:cs="SourceSansPro-Light"/>
                <w:color w:val="000000"/>
                <w:lang w:val="en-US"/>
              </w:rPr>
              <w:t>The feasibility study should include incurred but not reported (IBNR) claims and incurred but not enough reported (IBNER) claims</w:t>
            </w:r>
            <w:r>
              <w:rPr>
                <w:rFonts w:ascii="Source Sans Pro" w:eastAsia="MS Mincho" w:hAnsi="Source Sans Pro" w:cs="SourceSansPro-Light"/>
                <w:color w:val="000000"/>
                <w:lang w:val="en-US"/>
              </w:rPr>
              <w:t>.</w:t>
            </w:r>
          </w:p>
        </w:tc>
      </w:tr>
    </w:tbl>
    <w:p w14:paraId="7ACFFFBA" w14:textId="3541F900" w:rsidR="008B226E" w:rsidRDefault="008B226E">
      <w:pPr>
        <w:spacing w:line="240" w:lineRule="auto"/>
        <w:jc w:val="left"/>
        <w:rPr>
          <w:rFonts w:asciiTheme="majorHAnsi" w:eastAsiaTheme="majorEastAsia" w:hAnsiTheme="majorHAnsi" w:cstheme="majorBidi"/>
          <w:b/>
          <w:bCs/>
          <w:iCs/>
          <w:color w:val="A21C26" w:themeColor="accent1"/>
        </w:rPr>
      </w:pPr>
      <w:r>
        <w:rPr>
          <w:i/>
        </w:rPr>
        <w:br w:type="page"/>
      </w:r>
    </w:p>
    <w:p w14:paraId="18926D32" w14:textId="77777777" w:rsidR="002B3158" w:rsidRPr="002B00BC" w:rsidRDefault="00E65B1C" w:rsidP="00A35BCA">
      <w:pPr>
        <w:pStyle w:val="Heading4"/>
        <w:rPr>
          <w:i w:val="0"/>
        </w:rPr>
      </w:pPr>
      <w:r w:rsidRPr="002B00BC">
        <w:rPr>
          <w:i w:val="0"/>
        </w:rPr>
        <w:lastRenderedPageBreak/>
        <w:t xml:space="preserve">Valuing </w:t>
      </w:r>
      <w:r w:rsidR="00350BF4">
        <w:rPr>
          <w:i w:val="0"/>
        </w:rPr>
        <w:t xml:space="preserve">the </w:t>
      </w:r>
      <w:r w:rsidRPr="002B00BC">
        <w:rPr>
          <w:i w:val="0"/>
        </w:rPr>
        <w:t>o</w:t>
      </w:r>
      <w:r w:rsidR="002B3158" w:rsidRPr="002B00BC">
        <w:rPr>
          <w:i w:val="0"/>
        </w:rPr>
        <w:t xml:space="preserve">utstanding </w:t>
      </w:r>
      <w:r w:rsidRPr="002B00BC">
        <w:rPr>
          <w:i w:val="0"/>
        </w:rPr>
        <w:t>payments of compensation</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09"/>
      </w:tblGrid>
      <w:tr w:rsidR="002B3158" w:rsidRPr="00847AC2" w14:paraId="7CA8C246" w14:textId="77777777" w:rsidTr="00B13CB9">
        <w:trPr>
          <w:trHeight w:val="1484"/>
        </w:trPr>
        <w:tc>
          <w:tcPr>
            <w:tcW w:w="861" w:type="pct"/>
            <w:shd w:val="clear" w:color="auto" w:fill="E3E87D" w:themeFill="accent3" w:themeFillTint="99"/>
          </w:tcPr>
          <w:p w14:paraId="4473DCEC" w14:textId="77777777" w:rsidR="002B3158" w:rsidRPr="00847AC2" w:rsidRDefault="002B3158" w:rsidP="00905A2E">
            <w:pPr>
              <w:pStyle w:val="Bullet1"/>
              <w:numPr>
                <w:ilvl w:val="0"/>
                <w:numId w:val="0"/>
              </w:numPr>
              <w:ind w:left="35" w:right="163"/>
              <w:jc w:val="both"/>
            </w:pPr>
            <w:r>
              <w:t xml:space="preserve">Outstanding Claims Liabilities </w:t>
            </w:r>
          </w:p>
        </w:tc>
        <w:tc>
          <w:tcPr>
            <w:tcW w:w="4139" w:type="pct"/>
          </w:tcPr>
          <w:p w14:paraId="2BEF27B2" w14:textId="5C7C0BFE" w:rsidR="002B3158" w:rsidRDefault="002B3158" w:rsidP="00905A2E">
            <w:pPr>
              <w:widowControl w:val="0"/>
              <w:suppressAutoHyphens/>
              <w:autoSpaceDE w:val="0"/>
              <w:autoSpaceDN w:val="0"/>
              <w:adjustRightInd w:val="0"/>
              <w:spacing w:after="120"/>
              <w:ind w:right="163"/>
              <w:textAlignment w:val="center"/>
              <w:rPr>
                <w:rFonts w:eastAsia="MS Mincho" w:cs="SourceSansPro-Light"/>
                <w:color w:val="000000"/>
                <w:lang w:val="en-US"/>
              </w:rPr>
            </w:pPr>
            <w:r w:rsidRPr="00FA4690">
              <w:rPr>
                <w:rFonts w:ascii="Source Sans Pro" w:eastAsia="MS Mincho" w:hAnsi="Source Sans Pro" w:cs="SourceSansPro-Light"/>
                <w:color w:val="000000"/>
                <w:lang w:val="en-US"/>
              </w:rPr>
              <w:t xml:space="preserve">Outstanding Claims Liabilities </w:t>
            </w:r>
            <w:r>
              <w:rPr>
                <w:rFonts w:ascii="Source Sans Pro" w:eastAsia="MS Mincho" w:hAnsi="Source Sans Pro" w:cs="SourceSansPro-Light"/>
                <w:color w:val="000000"/>
                <w:lang w:val="en-US"/>
              </w:rPr>
              <w:t>(</w:t>
            </w:r>
            <w:r w:rsidRPr="00FA4690">
              <w:rPr>
                <w:rFonts w:ascii="Source Sans Pro" w:eastAsia="MS Mincho" w:hAnsi="Source Sans Pro" w:cs="SourceSansPro-Light"/>
                <w:color w:val="000000"/>
                <w:lang w:val="en-US"/>
              </w:rPr>
              <w:t>OCL</w:t>
            </w:r>
            <w:r>
              <w:rPr>
                <w:rFonts w:ascii="Source Sans Pro" w:eastAsia="MS Mincho" w:hAnsi="Source Sans Pro" w:cs="SourceSansPro-Light"/>
                <w:color w:val="000000"/>
                <w:lang w:val="en-US"/>
              </w:rPr>
              <w:t>)</w:t>
            </w:r>
            <w:r w:rsidRPr="00FA4690">
              <w:rPr>
                <w:rFonts w:ascii="Source Sans Pro" w:eastAsia="MS Mincho" w:hAnsi="Source Sans Pro" w:cs="SourceSansPro-Light"/>
                <w:color w:val="000000"/>
                <w:lang w:val="en-US"/>
              </w:rPr>
              <w:t xml:space="preserve"> </w:t>
            </w:r>
            <w:r w:rsidR="00E65B1C">
              <w:rPr>
                <w:rFonts w:ascii="Source Sans Pro" w:eastAsia="MS Mincho" w:hAnsi="Source Sans Pro" w:cs="SourceSansPro-Light"/>
                <w:color w:val="000000"/>
                <w:lang w:val="en-US"/>
              </w:rPr>
              <w:t>is</w:t>
            </w:r>
            <w:r w:rsidRPr="00FA4690">
              <w:rPr>
                <w:rFonts w:ascii="Source Sans Pro" w:eastAsia="MS Mincho" w:hAnsi="Source Sans Pro" w:cs="SourceSansPro-Light"/>
                <w:color w:val="000000"/>
                <w:lang w:val="en-US"/>
              </w:rPr>
              <w:t xml:space="preserve"> the sum of the value of reported claims at the date of </w:t>
            </w:r>
            <w:r w:rsidR="00C41927" w:rsidRPr="00FA4690">
              <w:rPr>
                <w:rFonts w:ascii="Source Sans Pro" w:eastAsia="MS Mincho" w:hAnsi="Source Sans Pro" w:cs="SourceSansPro-Light"/>
                <w:color w:val="000000"/>
                <w:lang w:val="en-US"/>
              </w:rPr>
              <w:t>valuation;</w:t>
            </w:r>
            <w:r w:rsidRPr="00FA4690">
              <w:rPr>
                <w:rFonts w:ascii="Source Sans Pro" w:eastAsia="MS Mincho" w:hAnsi="Source Sans Pro" w:cs="SourceSansPro-Light"/>
                <w:color w:val="000000"/>
                <w:lang w:val="en-US"/>
              </w:rPr>
              <w:t xml:space="preserve"> adjusted for inflation, discounting, and an allowance for </w:t>
            </w:r>
            <w:r w:rsidR="001E1925">
              <w:rPr>
                <w:rFonts w:ascii="Source Sans Pro" w:eastAsia="MS Mincho" w:hAnsi="Source Sans Pro" w:cs="SourceSansPro-Light"/>
                <w:color w:val="000000"/>
                <w:lang w:val="en-US"/>
              </w:rPr>
              <w:t xml:space="preserve">IBNR and IBNER </w:t>
            </w:r>
            <w:r>
              <w:rPr>
                <w:rFonts w:ascii="Source Sans Pro" w:eastAsia="MS Mincho" w:hAnsi="Source Sans Pro" w:cs="SourceSansPro-Light"/>
                <w:color w:val="000000"/>
                <w:lang w:val="en-US"/>
              </w:rPr>
              <w:t>claims</w:t>
            </w:r>
            <w:r w:rsidR="001E1925">
              <w:rPr>
                <w:rFonts w:ascii="Source Sans Pro" w:eastAsia="MS Mincho" w:hAnsi="Source Sans Pro" w:cs="SourceSansPro-Light"/>
                <w:color w:val="000000"/>
                <w:lang w:val="en-US"/>
              </w:rPr>
              <w:t>.</w:t>
            </w:r>
          </w:p>
          <w:p w14:paraId="10D2A8F7" w14:textId="77777777" w:rsidR="002B3158" w:rsidRPr="00491DB0" w:rsidRDefault="002B3158" w:rsidP="00905A2E">
            <w:pPr>
              <w:pStyle w:val="GuideStyle"/>
              <w:ind w:right="163"/>
              <w:rPr>
                <w:rFonts w:eastAsia="MS Mincho"/>
                <w:sz w:val="21"/>
                <w:szCs w:val="21"/>
                <w:lang w:val="en-US"/>
              </w:rPr>
            </w:pPr>
            <w:r w:rsidRPr="00491DB0">
              <w:rPr>
                <w:rFonts w:eastAsia="MS Mincho"/>
              </w:rPr>
              <w:t xml:space="preserve">An actuary </w:t>
            </w:r>
            <w:r w:rsidR="000E7AB3">
              <w:rPr>
                <w:rFonts w:eastAsia="MS Mincho"/>
              </w:rPr>
              <w:t>is</w:t>
            </w:r>
            <w:r w:rsidRPr="00491DB0">
              <w:rPr>
                <w:rFonts w:eastAsia="MS Mincho"/>
              </w:rPr>
              <w:t xml:space="preserve"> engaged to value the outstanding claims liabilities</w:t>
            </w:r>
            <w:r w:rsidRPr="00C10750">
              <w:rPr>
                <w:rFonts w:eastAsia="MS Mincho"/>
                <w:sz w:val="21"/>
                <w:szCs w:val="21"/>
                <w:lang w:val="en-US"/>
              </w:rPr>
              <w:t>.</w:t>
            </w:r>
          </w:p>
        </w:tc>
      </w:tr>
      <w:tr w:rsidR="002B3158" w:rsidRPr="00847AC2" w14:paraId="36C517E5" w14:textId="77777777" w:rsidTr="00B13CB9">
        <w:trPr>
          <w:trHeight w:val="146"/>
        </w:trPr>
        <w:tc>
          <w:tcPr>
            <w:tcW w:w="861" w:type="pct"/>
          </w:tcPr>
          <w:p w14:paraId="7132009F" w14:textId="77777777" w:rsidR="002B3158" w:rsidRPr="009E1679" w:rsidRDefault="002B3158" w:rsidP="00905A2E">
            <w:pPr>
              <w:pStyle w:val="Bullet1"/>
              <w:numPr>
                <w:ilvl w:val="0"/>
                <w:numId w:val="0"/>
              </w:numPr>
              <w:ind w:left="35" w:right="163"/>
              <w:jc w:val="both"/>
            </w:pPr>
          </w:p>
        </w:tc>
        <w:tc>
          <w:tcPr>
            <w:tcW w:w="4139" w:type="pct"/>
          </w:tcPr>
          <w:p w14:paraId="264EC415" w14:textId="77777777" w:rsidR="002B3158" w:rsidRPr="00847AC2" w:rsidRDefault="002B3158" w:rsidP="00905A2E">
            <w:pPr>
              <w:pStyle w:val="Bodytext"/>
              <w:ind w:right="163"/>
              <w:jc w:val="both"/>
            </w:pPr>
          </w:p>
        </w:tc>
      </w:tr>
      <w:tr w:rsidR="002B3158" w:rsidRPr="00847AC2" w14:paraId="44488D87" w14:textId="77777777" w:rsidTr="00B13CB9">
        <w:trPr>
          <w:trHeight w:val="2054"/>
        </w:trPr>
        <w:tc>
          <w:tcPr>
            <w:tcW w:w="861" w:type="pct"/>
            <w:shd w:val="clear" w:color="auto" w:fill="E3E87D" w:themeFill="accent3" w:themeFillTint="99"/>
          </w:tcPr>
          <w:p w14:paraId="423283DC" w14:textId="77777777" w:rsidR="002B3158" w:rsidRPr="009E1679" w:rsidRDefault="002B3158" w:rsidP="00905A2E">
            <w:pPr>
              <w:pStyle w:val="Bullet1"/>
              <w:numPr>
                <w:ilvl w:val="0"/>
                <w:numId w:val="0"/>
              </w:numPr>
              <w:ind w:left="35" w:right="163"/>
              <w:jc w:val="both"/>
            </w:pPr>
            <w:r>
              <w:t>Approving an Actuary</w:t>
            </w:r>
          </w:p>
        </w:tc>
        <w:tc>
          <w:tcPr>
            <w:tcW w:w="4139" w:type="pct"/>
          </w:tcPr>
          <w:p w14:paraId="26F95655" w14:textId="2CE5D3C5" w:rsidR="002B3158" w:rsidRDefault="002B3158" w:rsidP="00905A2E">
            <w:pPr>
              <w:pStyle w:val="GuideStyle"/>
              <w:ind w:right="163"/>
              <w:rPr>
                <w:rFonts w:eastAsia="MS Mincho"/>
              </w:rPr>
            </w:pPr>
            <w:r w:rsidRPr="005C2F39">
              <w:rPr>
                <w:rFonts w:eastAsia="MS Mincho"/>
              </w:rPr>
              <w:t>ReturnToWorkSA has sole discretion to appoint or approve an actuary</w:t>
            </w:r>
            <w:r>
              <w:rPr>
                <w:rFonts w:eastAsia="MS Mincho"/>
              </w:rPr>
              <w:t>,</w:t>
            </w:r>
            <w:r w:rsidRPr="005C2F39">
              <w:rPr>
                <w:rFonts w:eastAsia="MS Mincho"/>
              </w:rPr>
              <w:t xml:space="preserve"> </w:t>
            </w:r>
            <w:r>
              <w:rPr>
                <w:rFonts w:eastAsia="MS Mincho"/>
              </w:rPr>
              <w:t>for the purpose of estimating the value of outstanding claims liabilities</w:t>
            </w:r>
            <w:r w:rsidR="00350BF4">
              <w:rPr>
                <w:rFonts w:eastAsia="MS Mincho"/>
              </w:rPr>
              <w:t>.</w:t>
            </w:r>
          </w:p>
          <w:p w14:paraId="4671B253" w14:textId="77777777" w:rsidR="002B3158" w:rsidRDefault="002B3158" w:rsidP="00905A2E">
            <w:pPr>
              <w:pStyle w:val="GuideStyle"/>
              <w:ind w:right="163"/>
              <w:rPr>
                <w:rFonts w:eastAsia="MS Mincho"/>
              </w:rPr>
            </w:pPr>
            <w:r>
              <w:rPr>
                <w:rFonts w:eastAsia="MS Mincho"/>
              </w:rPr>
              <w:t xml:space="preserve">Applicants must advise ReturnToWorkSA of their nominated actuary. </w:t>
            </w:r>
          </w:p>
          <w:p w14:paraId="12D303E1" w14:textId="77777777" w:rsidR="002B3158" w:rsidRPr="00847AC2" w:rsidRDefault="002B3158" w:rsidP="00905A2E">
            <w:pPr>
              <w:pStyle w:val="GuideStyle"/>
              <w:ind w:right="163"/>
            </w:pPr>
            <w:r>
              <w:rPr>
                <w:rFonts w:eastAsia="MS Mincho"/>
              </w:rPr>
              <w:t>ReturnToWorkSA will provide written confirmation of the approval or otherwise to engage the approved actuary.</w:t>
            </w:r>
          </w:p>
        </w:tc>
      </w:tr>
      <w:tr w:rsidR="002B3158" w:rsidRPr="00847AC2" w14:paraId="2AAB0D4B" w14:textId="77777777" w:rsidTr="00B13CB9">
        <w:trPr>
          <w:trHeight w:val="317"/>
        </w:trPr>
        <w:tc>
          <w:tcPr>
            <w:tcW w:w="861" w:type="pct"/>
            <w:shd w:val="clear" w:color="auto" w:fill="auto"/>
          </w:tcPr>
          <w:p w14:paraId="2E6A5620" w14:textId="77777777" w:rsidR="002B3158" w:rsidRDefault="002B3158" w:rsidP="00905A2E">
            <w:pPr>
              <w:pStyle w:val="Bullet1"/>
              <w:numPr>
                <w:ilvl w:val="0"/>
                <w:numId w:val="0"/>
              </w:numPr>
              <w:ind w:left="35" w:right="163"/>
              <w:jc w:val="both"/>
            </w:pPr>
          </w:p>
        </w:tc>
        <w:tc>
          <w:tcPr>
            <w:tcW w:w="4139" w:type="pct"/>
          </w:tcPr>
          <w:p w14:paraId="4076DA8C" w14:textId="77777777" w:rsidR="002B3158" w:rsidRPr="005C2F39" w:rsidRDefault="002B3158" w:rsidP="00905A2E">
            <w:pPr>
              <w:pStyle w:val="GuideStyle"/>
              <w:ind w:right="163"/>
              <w:rPr>
                <w:rFonts w:eastAsia="MS Mincho"/>
              </w:rPr>
            </w:pPr>
          </w:p>
        </w:tc>
      </w:tr>
      <w:tr w:rsidR="002B3158" w:rsidRPr="00847AC2" w14:paraId="5484C704" w14:textId="77777777" w:rsidTr="00B13CB9">
        <w:trPr>
          <w:trHeight w:val="1282"/>
        </w:trPr>
        <w:tc>
          <w:tcPr>
            <w:tcW w:w="861" w:type="pct"/>
            <w:shd w:val="clear" w:color="auto" w:fill="E3E87D" w:themeFill="accent3" w:themeFillTint="99"/>
          </w:tcPr>
          <w:p w14:paraId="7F29C751" w14:textId="77777777" w:rsidR="002B3158" w:rsidRDefault="002B3158" w:rsidP="00905A2E">
            <w:pPr>
              <w:pStyle w:val="Bullet1"/>
              <w:numPr>
                <w:ilvl w:val="0"/>
                <w:numId w:val="0"/>
              </w:numPr>
              <w:ind w:left="35" w:right="163"/>
              <w:jc w:val="both"/>
            </w:pPr>
            <w:r>
              <w:t>Costs</w:t>
            </w:r>
          </w:p>
        </w:tc>
        <w:tc>
          <w:tcPr>
            <w:tcW w:w="4139" w:type="pct"/>
          </w:tcPr>
          <w:p w14:paraId="00D05CCD" w14:textId="2E50BBDA" w:rsidR="002B3158" w:rsidRPr="00952031" w:rsidRDefault="002B3158" w:rsidP="00905A2E">
            <w:pPr>
              <w:pStyle w:val="GuideStyle"/>
              <w:ind w:right="163"/>
              <w:rPr>
                <w:rFonts w:eastAsia="MS Mincho"/>
                <w:lang w:val="en-US"/>
              </w:rPr>
            </w:pPr>
            <w:r w:rsidRPr="00B945B5">
              <w:rPr>
                <w:rFonts w:eastAsia="MS Mincho"/>
                <w:lang w:val="en-US"/>
              </w:rPr>
              <w:t xml:space="preserve">The employer is responsible for all costs </w:t>
            </w:r>
            <w:r>
              <w:rPr>
                <w:rFonts w:eastAsia="MS Mincho"/>
                <w:lang w:val="en-US"/>
              </w:rPr>
              <w:t>associated with the valuation, including any costs associated with requests for additional clarification and information relating to the approved actuar</w:t>
            </w:r>
            <w:r w:rsidR="00EA78C8">
              <w:rPr>
                <w:rFonts w:eastAsia="MS Mincho"/>
                <w:lang w:val="en-US"/>
              </w:rPr>
              <w:t>y’</w:t>
            </w:r>
            <w:r>
              <w:rPr>
                <w:rFonts w:eastAsia="MS Mincho"/>
                <w:lang w:val="en-US"/>
              </w:rPr>
              <w:t>s report.</w:t>
            </w:r>
          </w:p>
        </w:tc>
      </w:tr>
      <w:tr w:rsidR="002B3158" w:rsidRPr="00847AC2" w14:paraId="3F1D49BC" w14:textId="77777777" w:rsidTr="00B13CB9">
        <w:trPr>
          <w:trHeight w:val="622"/>
        </w:trPr>
        <w:tc>
          <w:tcPr>
            <w:tcW w:w="861" w:type="pct"/>
          </w:tcPr>
          <w:p w14:paraId="04D3B42F" w14:textId="77777777" w:rsidR="002B3158" w:rsidRPr="009E1679" w:rsidRDefault="002B3158" w:rsidP="00905A2E">
            <w:pPr>
              <w:pStyle w:val="Bullet1"/>
              <w:numPr>
                <w:ilvl w:val="0"/>
                <w:numId w:val="0"/>
              </w:numPr>
              <w:ind w:left="35" w:right="163"/>
              <w:jc w:val="both"/>
            </w:pPr>
          </w:p>
        </w:tc>
        <w:tc>
          <w:tcPr>
            <w:tcW w:w="4139" w:type="pct"/>
          </w:tcPr>
          <w:p w14:paraId="48B411D7" w14:textId="77777777" w:rsidR="002B3158" w:rsidRPr="00847AC2" w:rsidRDefault="002B3158" w:rsidP="00905A2E">
            <w:pPr>
              <w:pStyle w:val="Bodytext"/>
              <w:ind w:right="163"/>
              <w:jc w:val="both"/>
            </w:pPr>
          </w:p>
        </w:tc>
      </w:tr>
      <w:tr w:rsidR="002B3158" w:rsidRPr="00847AC2" w14:paraId="6FDAB413" w14:textId="77777777" w:rsidTr="00B13CB9">
        <w:trPr>
          <w:trHeight w:val="4172"/>
        </w:trPr>
        <w:tc>
          <w:tcPr>
            <w:tcW w:w="861" w:type="pct"/>
            <w:shd w:val="clear" w:color="auto" w:fill="E3E87D" w:themeFill="accent3" w:themeFillTint="99"/>
          </w:tcPr>
          <w:p w14:paraId="61A288F6" w14:textId="77777777" w:rsidR="002B3158" w:rsidRPr="00847AC2" w:rsidRDefault="002B3158" w:rsidP="00905A2E">
            <w:pPr>
              <w:pStyle w:val="Bullet1"/>
              <w:numPr>
                <w:ilvl w:val="0"/>
                <w:numId w:val="0"/>
              </w:numPr>
              <w:ind w:left="35" w:right="163"/>
              <w:jc w:val="both"/>
            </w:pPr>
            <w:r>
              <w:t>Valuing Outstanding Claims Liabilities</w:t>
            </w:r>
          </w:p>
        </w:tc>
        <w:tc>
          <w:tcPr>
            <w:tcW w:w="4139" w:type="pct"/>
          </w:tcPr>
          <w:p w14:paraId="336D3323" w14:textId="18F50D95" w:rsidR="002B3158" w:rsidRPr="00B945B5" w:rsidRDefault="002B3158" w:rsidP="00905A2E">
            <w:pPr>
              <w:pStyle w:val="GuideStyle"/>
              <w:ind w:right="163"/>
              <w:rPr>
                <w:rFonts w:eastAsia="MS Mincho"/>
                <w:lang w:val="en-US"/>
              </w:rPr>
            </w:pPr>
            <w:r w:rsidRPr="00B945B5">
              <w:rPr>
                <w:rFonts w:eastAsia="MS Mincho"/>
                <w:lang w:val="en-US"/>
              </w:rPr>
              <w:t xml:space="preserve">Actuary reports must comply with </w:t>
            </w:r>
            <w:proofErr w:type="spellStart"/>
            <w:r w:rsidRPr="00B945B5">
              <w:rPr>
                <w:rFonts w:eastAsia="MS Mincho"/>
                <w:lang w:val="en-US"/>
              </w:rPr>
              <w:t>ReturnToWorkSA’s</w:t>
            </w:r>
            <w:proofErr w:type="spellEnd"/>
            <w:r w:rsidRPr="00B13CB9">
              <w:rPr>
                <w:rFonts w:eastAsia="MS Mincho"/>
                <w:lang w:val="en-US"/>
              </w:rPr>
              <w:t xml:space="preserve"> </w:t>
            </w:r>
            <w:hyperlink r:id="rId16" w:history="1">
              <w:r w:rsidR="00E07CDF">
                <w:rPr>
                  <w:rFonts w:eastAsia="MS Mincho"/>
                  <w:u w:val="single" w:color="C00000"/>
                  <w:lang w:val="en-US"/>
                </w:rPr>
                <w:t>Guideline on Self-insured Employer Actuary Reports and Financial Guarantees</w:t>
              </w:r>
            </w:hyperlink>
            <w:r w:rsidR="00E07CDF">
              <w:rPr>
                <w:rFonts w:eastAsia="MS Mincho"/>
                <w:lang w:val="en-US"/>
              </w:rPr>
              <w:t xml:space="preserve"> </w:t>
            </w:r>
            <w:r w:rsidRPr="00B945B5">
              <w:rPr>
                <w:rFonts w:eastAsia="MS Mincho"/>
                <w:lang w:val="en-US"/>
              </w:rPr>
              <w:t>published on the ReturnToWorkSA website.</w:t>
            </w:r>
          </w:p>
          <w:p w14:paraId="7F4FA386" w14:textId="2A6F1764" w:rsidR="002B3158" w:rsidRPr="00B945B5" w:rsidRDefault="002B3158" w:rsidP="00905A2E">
            <w:pPr>
              <w:pStyle w:val="GuideStyle"/>
              <w:ind w:right="163"/>
              <w:rPr>
                <w:rFonts w:eastAsia="MS Mincho"/>
                <w:lang w:val="en-US"/>
              </w:rPr>
            </w:pPr>
            <w:r>
              <w:rPr>
                <w:rFonts w:eastAsia="MS Mincho"/>
                <w:lang w:val="en-US"/>
              </w:rPr>
              <w:t>ReturnToWorkSA</w:t>
            </w:r>
            <w:r w:rsidRPr="00B945B5">
              <w:rPr>
                <w:rFonts w:eastAsia="MS Mincho"/>
                <w:lang w:val="en-US"/>
              </w:rPr>
              <w:t xml:space="preserve"> will provide the actuary with the data necessary to </w:t>
            </w:r>
            <w:r w:rsidR="00EA78C8">
              <w:rPr>
                <w:rFonts w:eastAsia="MS Mincho"/>
                <w:lang w:val="en-US"/>
              </w:rPr>
              <w:t xml:space="preserve">undertake </w:t>
            </w:r>
            <w:r w:rsidRPr="00B945B5">
              <w:rPr>
                <w:rFonts w:eastAsia="MS Mincho"/>
                <w:lang w:val="en-US"/>
              </w:rPr>
              <w:t>the valuation.</w:t>
            </w:r>
          </w:p>
          <w:p w14:paraId="2D413568" w14:textId="305C612F" w:rsidR="002B3158" w:rsidRDefault="00B66339" w:rsidP="00905A2E">
            <w:pPr>
              <w:pStyle w:val="GuideStyle"/>
              <w:ind w:right="163"/>
              <w:rPr>
                <w:rFonts w:eastAsia="MS Mincho"/>
                <w:lang w:val="en-US"/>
              </w:rPr>
            </w:pPr>
            <w:r>
              <w:rPr>
                <w:rFonts w:eastAsia="MS Mincho"/>
                <w:lang w:val="en-US"/>
              </w:rPr>
              <w:t>The</w:t>
            </w:r>
            <w:r w:rsidRPr="00B945B5">
              <w:rPr>
                <w:rFonts w:eastAsia="MS Mincho"/>
                <w:lang w:val="en-US"/>
              </w:rPr>
              <w:t xml:space="preserve"> </w:t>
            </w:r>
            <w:r w:rsidR="002B3158" w:rsidRPr="00B945B5">
              <w:rPr>
                <w:rFonts w:eastAsia="MS Mincho"/>
                <w:lang w:val="en-US"/>
              </w:rPr>
              <w:t>actuary will be required to enter into a confidentiality agreement</w:t>
            </w:r>
            <w:r w:rsidR="002B3158">
              <w:rPr>
                <w:rFonts w:eastAsia="MS Mincho"/>
                <w:lang w:val="en-US"/>
              </w:rPr>
              <w:t xml:space="preserve"> prior to </w:t>
            </w:r>
            <w:r w:rsidR="00CA6460">
              <w:rPr>
                <w:rFonts w:eastAsia="MS Mincho"/>
                <w:lang w:val="en-US"/>
              </w:rPr>
              <w:t xml:space="preserve">the provision of </w:t>
            </w:r>
            <w:r w:rsidR="002B3158">
              <w:rPr>
                <w:rFonts w:eastAsia="MS Mincho"/>
                <w:lang w:val="en-US"/>
              </w:rPr>
              <w:t>any claims data.</w:t>
            </w:r>
          </w:p>
          <w:p w14:paraId="39AA95A6" w14:textId="7DC8E69F" w:rsidR="002B3158" w:rsidRDefault="005C6092" w:rsidP="00905A2E">
            <w:pPr>
              <w:pStyle w:val="GuideStyle"/>
              <w:ind w:right="163"/>
              <w:rPr>
                <w:rFonts w:eastAsia="MS Mincho"/>
                <w:lang w:val="en-US"/>
              </w:rPr>
            </w:pPr>
            <w:r>
              <w:rPr>
                <w:rFonts w:eastAsia="MS Mincho"/>
                <w:lang w:val="en-US"/>
              </w:rPr>
              <w:t>A</w:t>
            </w:r>
            <w:r w:rsidR="002B3158">
              <w:rPr>
                <w:rFonts w:eastAsia="MS Mincho"/>
                <w:lang w:val="en-US"/>
              </w:rPr>
              <w:t xml:space="preserve"> copy of the actuary report</w:t>
            </w:r>
            <w:r>
              <w:rPr>
                <w:rFonts w:eastAsia="MS Mincho"/>
                <w:lang w:val="en-US"/>
              </w:rPr>
              <w:t xml:space="preserve"> </w:t>
            </w:r>
            <w:proofErr w:type="gramStart"/>
            <w:r>
              <w:rPr>
                <w:rFonts w:eastAsia="MS Mincho"/>
                <w:lang w:val="en-US"/>
              </w:rPr>
              <w:t>must be provided</w:t>
            </w:r>
            <w:proofErr w:type="gramEnd"/>
            <w:r>
              <w:rPr>
                <w:rFonts w:eastAsia="MS Mincho"/>
                <w:lang w:val="en-US"/>
              </w:rPr>
              <w:t xml:space="preserve"> to ReturnToWorkSA</w:t>
            </w:r>
            <w:r w:rsidR="002B3158">
              <w:rPr>
                <w:rFonts w:eastAsia="MS Mincho"/>
                <w:lang w:val="en-US"/>
              </w:rPr>
              <w:t>.</w:t>
            </w:r>
          </w:p>
          <w:p w14:paraId="603BC3FD" w14:textId="77777777" w:rsidR="002B3158" w:rsidRPr="00847AC2" w:rsidRDefault="002B3158" w:rsidP="00905A2E">
            <w:pPr>
              <w:pStyle w:val="GuideStyle"/>
              <w:ind w:right="163"/>
            </w:pPr>
            <w:r>
              <w:rPr>
                <w:rFonts w:eastAsia="MS Mincho"/>
                <w:lang w:val="en-US"/>
              </w:rPr>
              <w:t xml:space="preserve">The information provided by the actuary </w:t>
            </w:r>
            <w:proofErr w:type="gramStart"/>
            <w:r>
              <w:rPr>
                <w:rFonts w:eastAsia="MS Mincho"/>
                <w:lang w:val="en-US"/>
              </w:rPr>
              <w:t>will be used</w:t>
            </w:r>
            <w:proofErr w:type="gramEnd"/>
            <w:r>
              <w:rPr>
                <w:rFonts w:eastAsia="MS Mincho"/>
                <w:lang w:val="en-US"/>
              </w:rPr>
              <w:t xml:space="preserve"> to determine the amount payable to or by the employer (</w:t>
            </w:r>
            <w:r w:rsidRPr="00B13CB9">
              <w:rPr>
                <w:rFonts w:eastAsia="MS Mincho"/>
                <w:lang w:val="en-US"/>
              </w:rPr>
              <w:t>Liability Transfer Payment</w:t>
            </w:r>
            <w:r w:rsidRPr="001039C7">
              <w:rPr>
                <w:rFonts w:eastAsia="MS Mincho"/>
                <w:lang w:val="en-US"/>
              </w:rPr>
              <w:t>).</w:t>
            </w:r>
          </w:p>
        </w:tc>
      </w:tr>
      <w:tr w:rsidR="002B3158" w:rsidRPr="00847AC2" w14:paraId="355A25E3" w14:textId="77777777" w:rsidTr="00B13CB9">
        <w:trPr>
          <w:trHeight w:val="530"/>
        </w:trPr>
        <w:tc>
          <w:tcPr>
            <w:tcW w:w="861" w:type="pct"/>
            <w:shd w:val="clear" w:color="auto" w:fill="FFFFFF" w:themeFill="background1"/>
          </w:tcPr>
          <w:p w14:paraId="343B1DB6" w14:textId="77777777" w:rsidR="002B3158" w:rsidRDefault="002B3158" w:rsidP="00905A2E">
            <w:pPr>
              <w:pStyle w:val="Bullet1"/>
              <w:numPr>
                <w:ilvl w:val="0"/>
                <w:numId w:val="0"/>
              </w:numPr>
              <w:ind w:left="35" w:right="163"/>
              <w:jc w:val="both"/>
            </w:pPr>
          </w:p>
        </w:tc>
        <w:tc>
          <w:tcPr>
            <w:tcW w:w="4139" w:type="pct"/>
          </w:tcPr>
          <w:p w14:paraId="5AEF9CAB" w14:textId="77777777" w:rsidR="002B3158" w:rsidRPr="000776B3" w:rsidRDefault="002B3158" w:rsidP="00905A2E">
            <w:pPr>
              <w:pStyle w:val="GuideStyle"/>
              <w:ind w:right="163"/>
              <w:rPr>
                <w:rFonts w:eastAsia="MS Mincho"/>
                <w:lang w:val="en-US"/>
              </w:rPr>
            </w:pPr>
          </w:p>
        </w:tc>
      </w:tr>
      <w:tr w:rsidR="002B3158" w:rsidRPr="00847AC2" w14:paraId="1D0DD934" w14:textId="77777777" w:rsidTr="00B13CB9">
        <w:trPr>
          <w:trHeight w:val="815"/>
        </w:trPr>
        <w:tc>
          <w:tcPr>
            <w:tcW w:w="861" w:type="pct"/>
            <w:shd w:val="clear" w:color="auto" w:fill="E3E87D" w:themeFill="accent3" w:themeFillTint="99"/>
          </w:tcPr>
          <w:p w14:paraId="5E6C402B" w14:textId="77777777" w:rsidR="002B3158" w:rsidRDefault="002B3158" w:rsidP="00905A2E">
            <w:pPr>
              <w:pStyle w:val="Bullet1"/>
              <w:numPr>
                <w:ilvl w:val="0"/>
                <w:numId w:val="0"/>
              </w:numPr>
              <w:ind w:left="35" w:right="163"/>
              <w:jc w:val="both"/>
            </w:pPr>
            <w:r>
              <w:t>Peer Review</w:t>
            </w:r>
          </w:p>
        </w:tc>
        <w:tc>
          <w:tcPr>
            <w:tcW w:w="4139" w:type="pct"/>
          </w:tcPr>
          <w:p w14:paraId="79E68F21" w14:textId="405A4376" w:rsidR="002B3158" w:rsidRPr="000776B3" w:rsidRDefault="002B3158" w:rsidP="00B66339">
            <w:pPr>
              <w:pStyle w:val="GuideStyle"/>
              <w:ind w:right="163"/>
              <w:rPr>
                <w:rFonts w:eastAsia="MS Mincho"/>
                <w:lang w:val="en-US"/>
              </w:rPr>
            </w:pPr>
            <w:r w:rsidRPr="005C2F39">
              <w:rPr>
                <w:rFonts w:eastAsia="MS Mincho"/>
                <w:lang w:val="en-US"/>
              </w:rPr>
              <w:t>ReturnToWorkSA</w:t>
            </w:r>
            <w:r>
              <w:rPr>
                <w:rFonts w:eastAsia="MS Mincho"/>
                <w:lang w:val="en-US"/>
              </w:rPr>
              <w:t xml:space="preserve"> </w:t>
            </w:r>
            <w:r w:rsidR="00952031">
              <w:rPr>
                <w:rFonts w:eastAsia="MS Mincho"/>
                <w:lang w:val="en-US"/>
              </w:rPr>
              <w:t>may require a peer review of an</w:t>
            </w:r>
            <w:r>
              <w:rPr>
                <w:rFonts w:eastAsia="MS Mincho"/>
                <w:lang w:val="en-US"/>
              </w:rPr>
              <w:t xml:space="preserve"> actuary report</w:t>
            </w:r>
            <w:r w:rsidR="00B66339">
              <w:rPr>
                <w:rFonts w:eastAsia="MS Mincho"/>
                <w:lang w:val="en-US"/>
              </w:rPr>
              <w:t xml:space="preserve">, and </w:t>
            </w:r>
            <w:r>
              <w:rPr>
                <w:rFonts w:eastAsia="MS Mincho"/>
                <w:lang w:val="en-US"/>
              </w:rPr>
              <w:t xml:space="preserve">will be responsible for the cost incurred by its nominated peer review actuary. </w:t>
            </w:r>
          </w:p>
        </w:tc>
      </w:tr>
      <w:tr w:rsidR="00C440FB" w:rsidRPr="00847AC2" w14:paraId="54784701" w14:textId="77777777" w:rsidTr="00B13CB9">
        <w:trPr>
          <w:trHeight w:val="530"/>
        </w:trPr>
        <w:tc>
          <w:tcPr>
            <w:tcW w:w="861" w:type="pct"/>
            <w:shd w:val="clear" w:color="auto" w:fill="FFFFFF" w:themeFill="background1"/>
          </w:tcPr>
          <w:p w14:paraId="37526F3E" w14:textId="77777777" w:rsidR="00C440FB" w:rsidRDefault="00C440FB" w:rsidP="00905A2E">
            <w:pPr>
              <w:pStyle w:val="Bullet1"/>
              <w:numPr>
                <w:ilvl w:val="0"/>
                <w:numId w:val="0"/>
              </w:numPr>
              <w:ind w:left="35" w:right="163"/>
              <w:jc w:val="both"/>
            </w:pPr>
          </w:p>
        </w:tc>
        <w:tc>
          <w:tcPr>
            <w:tcW w:w="4139" w:type="pct"/>
          </w:tcPr>
          <w:p w14:paraId="70825EB5" w14:textId="77777777" w:rsidR="00C440FB" w:rsidRPr="005C2F39" w:rsidRDefault="00C440FB" w:rsidP="00905A2E">
            <w:pPr>
              <w:pStyle w:val="GuideStyle"/>
              <w:ind w:right="163"/>
              <w:rPr>
                <w:rFonts w:eastAsia="MS Mincho"/>
                <w:lang w:val="en-US"/>
              </w:rPr>
            </w:pPr>
          </w:p>
        </w:tc>
      </w:tr>
      <w:tr w:rsidR="00C440FB" w:rsidRPr="00847AC2" w14:paraId="0BE3162A" w14:textId="77777777" w:rsidTr="00B13CB9">
        <w:trPr>
          <w:trHeight w:val="2057"/>
        </w:trPr>
        <w:tc>
          <w:tcPr>
            <w:tcW w:w="861" w:type="pct"/>
            <w:shd w:val="clear" w:color="auto" w:fill="E3E87D" w:themeFill="accent3" w:themeFillTint="99"/>
          </w:tcPr>
          <w:p w14:paraId="2548D7F1" w14:textId="77777777" w:rsidR="00C440FB" w:rsidRDefault="00C440FB" w:rsidP="00905A2E">
            <w:pPr>
              <w:pStyle w:val="Bullet1"/>
              <w:numPr>
                <w:ilvl w:val="0"/>
                <w:numId w:val="0"/>
              </w:numPr>
              <w:ind w:left="35" w:right="163"/>
              <w:jc w:val="both"/>
            </w:pPr>
            <w:r>
              <w:lastRenderedPageBreak/>
              <w:t>Timing</w:t>
            </w:r>
          </w:p>
        </w:tc>
        <w:tc>
          <w:tcPr>
            <w:tcW w:w="4139" w:type="pct"/>
          </w:tcPr>
          <w:p w14:paraId="76910593" w14:textId="7C404CFD" w:rsidR="00C440FB" w:rsidRDefault="00C440FB" w:rsidP="00905A2E">
            <w:pPr>
              <w:pStyle w:val="GuideStyle"/>
              <w:ind w:right="163"/>
              <w:rPr>
                <w:rFonts w:eastAsia="MS Mincho"/>
                <w:lang w:val="en-US"/>
              </w:rPr>
            </w:pPr>
            <w:r w:rsidRPr="00C440FB">
              <w:rPr>
                <w:rFonts w:eastAsia="MS Mincho"/>
                <w:lang w:val="en-US"/>
              </w:rPr>
              <w:t>The valuation of OCL will ordinarily commence after the lodgment of an app</w:t>
            </w:r>
            <w:r w:rsidR="005C6092">
              <w:rPr>
                <w:rFonts w:eastAsia="MS Mincho"/>
                <w:lang w:val="en-US"/>
              </w:rPr>
              <w:t>lication for registration as a S</w:t>
            </w:r>
            <w:r w:rsidRPr="00C440FB">
              <w:rPr>
                <w:rFonts w:eastAsia="MS Mincho"/>
                <w:lang w:val="en-US"/>
              </w:rPr>
              <w:t>elf-insured employer, or ap</w:t>
            </w:r>
            <w:r w:rsidR="005C6092">
              <w:rPr>
                <w:rFonts w:eastAsia="MS Mincho"/>
                <w:lang w:val="en-US"/>
              </w:rPr>
              <w:t>plication to amend an existing S</w:t>
            </w:r>
            <w:r w:rsidRPr="00C440FB">
              <w:rPr>
                <w:rFonts w:eastAsia="MS Mincho"/>
                <w:lang w:val="en-US"/>
              </w:rPr>
              <w:t>elf-insured employer registration.</w:t>
            </w:r>
          </w:p>
          <w:p w14:paraId="348FCE1E" w14:textId="69F01E9C" w:rsidR="006403D6" w:rsidRPr="005C2F39" w:rsidRDefault="006403D6" w:rsidP="00EA78C8">
            <w:pPr>
              <w:pStyle w:val="GuideStyle"/>
              <w:ind w:right="163"/>
              <w:rPr>
                <w:rFonts w:eastAsia="MS Mincho"/>
                <w:lang w:val="en-US"/>
              </w:rPr>
            </w:pPr>
            <w:r>
              <w:rPr>
                <w:rFonts w:eastAsia="MS Mincho"/>
                <w:lang w:val="en-US"/>
              </w:rPr>
              <w:t>The date of the valuation should be no more than 6 m</w:t>
            </w:r>
            <w:r w:rsidR="00BC3328">
              <w:rPr>
                <w:rFonts w:eastAsia="MS Mincho"/>
                <w:lang w:val="en-US"/>
              </w:rPr>
              <w:t xml:space="preserve">onths </w:t>
            </w:r>
            <w:r w:rsidR="00EA78C8">
              <w:rPr>
                <w:rFonts w:eastAsia="MS Mincho"/>
                <w:lang w:val="en-US"/>
              </w:rPr>
              <w:t xml:space="preserve">prior to the date </w:t>
            </w:r>
            <w:r>
              <w:rPr>
                <w:rFonts w:eastAsia="MS Mincho"/>
                <w:lang w:val="en-US"/>
              </w:rPr>
              <w:t>the Board considers the employer</w:t>
            </w:r>
            <w:r w:rsidR="00EA78C8">
              <w:rPr>
                <w:rFonts w:eastAsia="MS Mincho"/>
                <w:lang w:val="en-US"/>
              </w:rPr>
              <w:t>’</w:t>
            </w:r>
            <w:r>
              <w:rPr>
                <w:rFonts w:eastAsia="MS Mincho"/>
                <w:lang w:val="en-US"/>
              </w:rPr>
              <w:t>s application.</w:t>
            </w:r>
          </w:p>
        </w:tc>
      </w:tr>
    </w:tbl>
    <w:p w14:paraId="21D604C1" w14:textId="77777777" w:rsidR="00FB351D" w:rsidRDefault="00FB351D" w:rsidP="002B00BC">
      <w:pPr>
        <w:pStyle w:val="Heading2"/>
        <w:rPr>
          <w:lang w:val="en-US"/>
        </w:rPr>
      </w:pPr>
    </w:p>
    <w:p w14:paraId="2A811C22" w14:textId="61DAD5E4" w:rsidR="00FB351D" w:rsidRDefault="00FB351D">
      <w:pPr>
        <w:spacing w:line="240" w:lineRule="auto"/>
        <w:jc w:val="left"/>
        <w:rPr>
          <w:rFonts w:ascii="Source Sans Pro" w:eastAsiaTheme="majorEastAsia" w:hAnsi="Source Sans Pro" w:cstheme="majorBidi"/>
          <w:b/>
          <w:bCs/>
          <w:sz w:val="26"/>
          <w:szCs w:val="26"/>
          <w:lang w:val="en-US"/>
        </w:rPr>
      </w:pPr>
    </w:p>
    <w:p w14:paraId="2CA790F8" w14:textId="2A875BA6" w:rsidR="002B3158" w:rsidRPr="002B00BC" w:rsidRDefault="002B3158" w:rsidP="00A35BCA">
      <w:pPr>
        <w:pStyle w:val="Heading2"/>
        <w:rPr>
          <w:lang w:val="en-US"/>
        </w:rPr>
      </w:pPr>
      <w:bookmarkStart w:id="2" w:name="Net_Premium_Position"/>
      <w:bookmarkStart w:id="3" w:name="_Toc29451794"/>
      <w:r w:rsidRPr="002B00BC">
        <w:rPr>
          <w:lang w:val="en-US"/>
        </w:rPr>
        <w:t>Net Premium Position</w:t>
      </w:r>
      <w:bookmarkEnd w:id="2"/>
      <w:bookmarkEnd w:id="3"/>
    </w:p>
    <w:p w14:paraId="1C96F60B" w14:textId="77777777" w:rsidR="002B3158" w:rsidRDefault="002B3158" w:rsidP="00A35BCA">
      <w:pPr>
        <w:widowControl w:val="0"/>
        <w:suppressAutoHyphens/>
        <w:autoSpaceDE w:val="0"/>
        <w:autoSpaceDN w:val="0"/>
        <w:adjustRightInd w:val="0"/>
        <w:spacing w:after="120"/>
        <w:ind w:right="163"/>
        <w:textAlignment w:val="center"/>
        <w:rPr>
          <w:rFonts w:ascii="Source Sans Pro" w:eastAsia="MS Mincho" w:hAnsi="Source Sans Pro" w:cs="SourceSansPro-Light"/>
          <w:color w:val="000000"/>
          <w:lang w:val="en-US"/>
        </w:rPr>
      </w:pPr>
      <w:r w:rsidRPr="00FA4690">
        <w:rPr>
          <w:rFonts w:ascii="Source Sans Pro" w:eastAsia="MS Mincho" w:hAnsi="Source Sans Pro" w:cs="SourceSansPro-Light"/>
          <w:color w:val="000000"/>
          <w:lang w:val="en-US"/>
        </w:rPr>
        <w:t xml:space="preserve">The </w:t>
      </w:r>
      <w:r w:rsidR="007362EE">
        <w:rPr>
          <w:rFonts w:ascii="Source Sans Pro" w:eastAsia="MS Mincho" w:hAnsi="Source Sans Pro" w:cs="SourceSansPro-Light"/>
          <w:color w:val="000000"/>
          <w:lang w:val="en-US"/>
        </w:rPr>
        <w:t xml:space="preserve">value of the </w:t>
      </w:r>
      <w:r w:rsidRPr="00FA4690">
        <w:rPr>
          <w:rFonts w:ascii="Source Sans Pro" w:eastAsia="MS Mincho" w:hAnsi="Source Sans Pro" w:cs="SourceSansPro-Light"/>
          <w:color w:val="000000"/>
          <w:lang w:val="en-US"/>
        </w:rPr>
        <w:t>Liability Transfer Payment</w:t>
      </w:r>
      <w:r>
        <w:rPr>
          <w:rFonts w:ascii="Source Sans Pro" w:eastAsia="MS Mincho" w:hAnsi="Source Sans Pro" w:cs="SourceSansPro-Light"/>
          <w:color w:val="000000"/>
          <w:lang w:val="en-US"/>
        </w:rPr>
        <w:t xml:space="preserve"> (LTP) </w:t>
      </w:r>
      <w:r w:rsidRPr="00FA4690">
        <w:rPr>
          <w:rFonts w:ascii="Source Sans Pro" w:eastAsia="MS Mincho" w:hAnsi="Source Sans Pro" w:cs="SourceSansPro-Light"/>
          <w:color w:val="000000"/>
          <w:lang w:val="en-US"/>
        </w:rPr>
        <w:t xml:space="preserve">is subject to a </w:t>
      </w:r>
      <w:r>
        <w:rPr>
          <w:rFonts w:ascii="Source Sans Pro" w:eastAsia="MS Mincho" w:hAnsi="Source Sans Pro" w:cs="SourceSansPro-Light"/>
          <w:color w:val="000000"/>
          <w:lang w:val="en-US"/>
        </w:rPr>
        <w:t xml:space="preserve">maximum </w:t>
      </w:r>
      <w:r w:rsidRPr="00FA4690">
        <w:rPr>
          <w:rFonts w:ascii="Source Sans Pro" w:eastAsia="MS Mincho" w:hAnsi="Source Sans Pro" w:cs="SourceSansPro-Light"/>
          <w:color w:val="000000"/>
          <w:lang w:val="en-US"/>
        </w:rPr>
        <w:t>limit</w:t>
      </w:r>
      <w:r>
        <w:rPr>
          <w:rFonts w:ascii="Source Sans Pro" w:eastAsia="MS Mincho" w:hAnsi="Source Sans Pro" w:cs="SourceSansPro-Light"/>
          <w:color w:val="000000"/>
          <w:lang w:val="en-US"/>
        </w:rPr>
        <w:t xml:space="preserve">, referred to as the </w:t>
      </w:r>
      <w:r w:rsidRPr="00FA4690">
        <w:rPr>
          <w:rFonts w:ascii="Source Sans Pro" w:eastAsia="MS Mincho" w:hAnsi="Source Sans Pro" w:cs="SourceSansPro-Light"/>
          <w:color w:val="000000"/>
          <w:lang w:val="en-US"/>
        </w:rPr>
        <w:t>Net Premium Position</w:t>
      </w:r>
      <w:r>
        <w:rPr>
          <w:rFonts w:ascii="Source Sans Pro" w:eastAsia="MS Mincho" w:hAnsi="Source Sans Pro" w:cs="SourceSansPro-Light"/>
          <w:color w:val="000000"/>
          <w:lang w:val="en-US"/>
        </w:rPr>
        <w:t xml:space="preserve"> (NPP). </w:t>
      </w:r>
    </w:p>
    <w:p w14:paraId="6669C721" w14:textId="77777777" w:rsidR="002B3158" w:rsidRDefault="002B3158" w:rsidP="00A35BCA">
      <w:pPr>
        <w:widowControl w:val="0"/>
        <w:suppressAutoHyphens/>
        <w:autoSpaceDE w:val="0"/>
        <w:autoSpaceDN w:val="0"/>
        <w:adjustRightInd w:val="0"/>
        <w:spacing w:after="120"/>
        <w:ind w:right="163"/>
        <w:textAlignment w:val="center"/>
        <w:rPr>
          <w:rFonts w:ascii="Source Sans Pro" w:eastAsia="MS Mincho" w:hAnsi="Source Sans Pro" w:cs="SourceSansPro-Light"/>
          <w:color w:val="000000"/>
          <w:lang w:val="en-US"/>
        </w:rPr>
      </w:pPr>
      <w:r>
        <w:rPr>
          <w:rFonts w:ascii="Source Sans Pro" w:eastAsiaTheme="majorEastAsia" w:hAnsi="Source Sans Pro" w:cstheme="majorBidi"/>
          <w:b/>
          <w:noProof/>
          <w:color w:val="A21C26"/>
          <w:sz w:val="56"/>
          <w:lang w:eastAsia="en-AU"/>
        </w:rPr>
        <w:drawing>
          <wp:inline distT="0" distB="0" distL="0" distR="0" wp14:anchorId="7240F321" wp14:editId="175CF13E">
            <wp:extent cx="5486400" cy="1086928"/>
            <wp:effectExtent l="0" t="57150" r="0" b="1136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309339B" w14:textId="77777777" w:rsidR="007362EE" w:rsidRDefault="007362EE" w:rsidP="00A35BCA">
      <w:pPr>
        <w:widowControl w:val="0"/>
        <w:suppressAutoHyphens/>
        <w:autoSpaceDE w:val="0"/>
        <w:autoSpaceDN w:val="0"/>
        <w:adjustRightInd w:val="0"/>
        <w:spacing w:after="120"/>
        <w:ind w:right="163"/>
        <w:textAlignment w:val="center"/>
        <w:rPr>
          <w:rFonts w:ascii="Source Sans Pro" w:eastAsia="MS Mincho" w:hAnsi="Source Sans Pro" w:cs="SourceSansPro-Light"/>
          <w:color w:val="000000"/>
          <w:lang w:val="en-US"/>
        </w:rPr>
      </w:pPr>
    </w:p>
    <w:p w14:paraId="130D6308" w14:textId="77777777" w:rsidR="002B3158" w:rsidRPr="002B00BC" w:rsidRDefault="002B3158" w:rsidP="00A35BCA">
      <w:pPr>
        <w:pStyle w:val="Heading4"/>
        <w:rPr>
          <w:i w:val="0"/>
        </w:rPr>
      </w:pPr>
      <w:r w:rsidRPr="002B00BC">
        <w:rPr>
          <w:i w:val="0"/>
        </w:rPr>
        <w:t>Calculating the NPP</w:t>
      </w:r>
    </w:p>
    <w:tbl>
      <w:tblPr>
        <w:tblStyle w:val="TableGridLight"/>
        <w:tblW w:w="50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7795"/>
      </w:tblGrid>
      <w:tr w:rsidR="002B3158" w:rsidRPr="00847AC2" w14:paraId="7B816A6D" w14:textId="77777777" w:rsidTr="00B13CB9">
        <w:tc>
          <w:tcPr>
            <w:tcW w:w="770" w:type="pct"/>
            <w:shd w:val="clear" w:color="auto" w:fill="E3E87D" w:themeFill="accent3" w:themeFillTint="99"/>
          </w:tcPr>
          <w:p w14:paraId="039CD359" w14:textId="77777777" w:rsidR="002B3158" w:rsidRPr="00847AC2" w:rsidRDefault="002B3158" w:rsidP="0064485D">
            <w:pPr>
              <w:pStyle w:val="Bullet1"/>
              <w:numPr>
                <w:ilvl w:val="0"/>
                <w:numId w:val="0"/>
              </w:numPr>
              <w:ind w:left="34" w:right="163"/>
              <w:jc w:val="both"/>
            </w:pPr>
            <w:r>
              <w:t xml:space="preserve">Net Premium Position </w:t>
            </w:r>
          </w:p>
        </w:tc>
        <w:tc>
          <w:tcPr>
            <w:tcW w:w="4230" w:type="pct"/>
          </w:tcPr>
          <w:p w14:paraId="3264B29B" w14:textId="00933BD5" w:rsidR="002B3158" w:rsidRDefault="002B3158" w:rsidP="00905A2E">
            <w:pPr>
              <w:pStyle w:val="GuideStyle"/>
              <w:ind w:right="163"/>
              <w:rPr>
                <w:rFonts w:eastAsia="MS Mincho"/>
                <w:lang w:val="en-US"/>
              </w:rPr>
            </w:pPr>
            <w:r w:rsidRPr="00491DB0">
              <w:rPr>
                <w:rFonts w:eastAsia="MS Mincho"/>
                <w:lang w:val="en-US"/>
              </w:rPr>
              <w:t xml:space="preserve">The Net Premium Position is the sum of the </w:t>
            </w:r>
            <w:r w:rsidR="00020FD3">
              <w:rPr>
                <w:rFonts w:eastAsia="MS Mincho"/>
                <w:lang w:val="en-US"/>
              </w:rPr>
              <w:t xml:space="preserve">premium paid by the </w:t>
            </w:r>
            <w:r w:rsidRPr="00491DB0">
              <w:rPr>
                <w:rFonts w:eastAsia="MS Mincho"/>
                <w:lang w:val="en-US"/>
              </w:rPr>
              <w:t>employe</w:t>
            </w:r>
            <w:r w:rsidR="00020FD3">
              <w:rPr>
                <w:rFonts w:eastAsia="MS Mincho"/>
                <w:lang w:val="en-US"/>
              </w:rPr>
              <w:t>r</w:t>
            </w:r>
            <w:r w:rsidRPr="00491DB0">
              <w:rPr>
                <w:rFonts w:eastAsia="MS Mincho"/>
                <w:lang w:val="en-US"/>
              </w:rPr>
              <w:t xml:space="preserve"> over </w:t>
            </w:r>
            <w:r w:rsidR="00905A8C">
              <w:rPr>
                <w:rFonts w:eastAsia="MS Mincho"/>
                <w:lang w:val="en-US"/>
              </w:rPr>
              <w:t xml:space="preserve">the last seven financial </w:t>
            </w:r>
            <w:r w:rsidR="00EC15C7">
              <w:rPr>
                <w:rFonts w:eastAsia="MS Mincho"/>
                <w:lang w:val="en-US"/>
              </w:rPr>
              <w:t>years (</w:t>
            </w:r>
            <w:r w:rsidR="00207886">
              <w:rPr>
                <w:rFonts w:eastAsia="MS Mincho"/>
                <w:lang w:val="en-US"/>
              </w:rPr>
              <w:t xml:space="preserve">including </w:t>
            </w:r>
            <w:r w:rsidR="00905A8C">
              <w:rPr>
                <w:rFonts w:eastAsia="MS Mincho"/>
                <w:lang w:val="en-US"/>
              </w:rPr>
              <w:t>the current</w:t>
            </w:r>
            <w:r w:rsidR="00207886">
              <w:rPr>
                <w:rFonts w:eastAsia="MS Mincho"/>
                <w:lang w:val="en-US"/>
              </w:rPr>
              <w:t xml:space="preserve"> to-date</w:t>
            </w:r>
            <w:r w:rsidR="00905A8C">
              <w:rPr>
                <w:rFonts w:eastAsia="MS Mincho"/>
                <w:lang w:val="en-US"/>
              </w:rPr>
              <w:t>),</w:t>
            </w:r>
            <w:r w:rsidR="00EC15C7">
              <w:rPr>
                <w:rFonts w:eastAsia="MS Mincho"/>
                <w:lang w:val="en-US"/>
              </w:rPr>
              <w:t xml:space="preserve"> </w:t>
            </w:r>
            <w:r w:rsidRPr="00491DB0">
              <w:rPr>
                <w:rFonts w:eastAsia="MS Mincho"/>
                <w:lang w:val="en-US"/>
              </w:rPr>
              <w:t xml:space="preserve">less the costs </w:t>
            </w:r>
            <w:r w:rsidR="00EA78C8">
              <w:rPr>
                <w:rFonts w:eastAsia="MS Mincho"/>
                <w:lang w:val="en-US"/>
              </w:rPr>
              <w:t>paid</w:t>
            </w:r>
            <w:r w:rsidR="00EA78C8" w:rsidRPr="00491DB0">
              <w:rPr>
                <w:rFonts w:eastAsia="MS Mincho"/>
                <w:lang w:val="en-US"/>
              </w:rPr>
              <w:t xml:space="preserve"> </w:t>
            </w:r>
            <w:r>
              <w:rPr>
                <w:rFonts w:eastAsia="MS Mincho"/>
                <w:lang w:val="en-US"/>
              </w:rPr>
              <w:t xml:space="preserve">for claims with an injury date </w:t>
            </w:r>
            <w:r w:rsidR="00905A8C">
              <w:rPr>
                <w:rFonts w:eastAsia="MS Mincho"/>
                <w:lang w:val="en-US"/>
              </w:rPr>
              <w:t>within</w:t>
            </w:r>
            <w:r w:rsidR="00870233">
              <w:rPr>
                <w:rFonts w:eastAsia="MS Mincho"/>
                <w:lang w:val="en-US"/>
              </w:rPr>
              <w:t xml:space="preserve"> that</w:t>
            </w:r>
            <w:r w:rsidR="00020FD3">
              <w:rPr>
                <w:rFonts w:eastAsia="MS Mincho"/>
                <w:lang w:val="en-US"/>
              </w:rPr>
              <w:t xml:space="preserve"> period.</w:t>
            </w:r>
          </w:p>
          <w:p w14:paraId="5C24C3C4" w14:textId="2BBBED49" w:rsidR="002B3158" w:rsidRDefault="002B3158" w:rsidP="00905A2E">
            <w:pPr>
              <w:pStyle w:val="GuideStyle"/>
              <w:ind w:right="163"/>
              <w:rPr>
                <w:rFonts w:eastAsia="MS Mincho"/>
                <w:lang w:val="en-US"/>
              </w:rPr>
            </w:pPr>
            <w:r>
              <w:rPr>
                <w:rFonts w:eastAsia="MS Mincho"/>
                <w:lang w:val="en-US"/>
              </w:rPr>
              <w:t>NPP is calculated for each company subject to an application</w:t>
            </w:r>
            <w:r w:rsidR="00FB351D">
              <w:rPr>
                <w:rFonts w:eastAsia="MS Mincho"/>
                <w:lang w:val="en-US"/>
              </w:rPr>
              <w:t>, and can be negative or zero, for example:</w:t>
            </w:r>
          </w:p>
          <w:tbl>
            <w:tblPr>
              <w:tblStyle w:val="RTWSATable"/>
              <w:tblW w:w="0" w:type="auto"/>
              <w:tblLook w:val="04A0" w:firstRow="1" w:lastRow="0" w:firstColumn="1" w:lastColumn="0" w:noHBand="0" w:noVBand="1"/>
            </w:tblPr>
            <w:tblGrid>
              <w:gridCol w:w="1892"/>
              <w:gridCol w:w="1892"/>
              <w:gridCol w:w="1892"/>
              <w:gridCol w:w="1893"/>
            </w:tblGrid>
            <w:tr w:rsidR="002B3158" w14:paraId="40CD802B" w14:textId="77777777" w:rsidTr="0087767B">
              <w:trPr>
                <w:cnfStyle w:val="100000000000" w:firstRow="1" w:lastRow="0" w:firstColumn="0" w:lastColumn="0" w:oddVBand="0" w:evenVBand="0" w:oddHBand="0" w:evenHBand="0" w:firstRowFirstColumn="0" w:firstRowLastColumn="0" w:lastRowFirstColumn="0" w:lastRowLastColumn="0"/>
              </w:trPr>
              <w:tc>
                <w:tcPr>
                  <w:tcW w:w="1892" w:type="dxa"/>
                  <w:shd w:val="clear" w:color="auto" w:fill="A21C26" w:themeFill="text2"/>
                </w:tcPr>
                <w:p w14:paraId="09771FC8" w14:textId="77777777" w:rsidR="002B3158" w:rsidRPr="00491DB0" w:rsidRDefault="002B3158" w:rsidP="0087767B">
                  <w:pPr>
                    <w:pStyle w:val="GuideStyle"/>
                    <w:spacing w:after="0"/>
                    <w:ind w:right="163"/>
                    <w:jc w:val="center"/>
                    <w:rPr>
                      <w:rFonts w:eastAsia="MS Mincho"/>
                      <w:color w:val="auto"/>
                      <w:lang w:val="en-US"/>
                    </w:rPr>
                  </w:pPr>
                  <w:r w:rsidRPr="00C46DB5">
                    <w:rPr>
                      <w:rFonts w:eastAsia="MS Mincho"/>
                      <w:lang w:val="en-US"/>
                    </w:rPr>
                    <w:t>Company</w:t>
                  </w:r>
                </w:p>
              </w:tc>
              <w:tc>
                <w:tcPr>
                  <w:tcW w:w="1892" w:type="dxa"/>
                  <w:shd w:val="clear" w:color="auto" w:fill="A21C26" w:themeFill="text2"/>
                </w:tcPr>
                <w:p w14:paraId="3A0AEC83" w14:textId="77777777" w:rsidR="002B3158" w:rsidRPr="00491DB0" w:rsidRDefault="002B3158" w:rsidP="0087767B">
                  <w:pPr>
                    <w:pStyle w:val="GuideStyle"/>
                    <w:spacing w:after="0"/>
                    <w:ind w:right="163"/>
                    <w:jc w:val="center"/>
                    <w:rPr>
                      <w:rFonts w:eastAsia="MS Mincho"/>
                      <w:color w:val="auto"/>
                      <w:lang w:val="en-US"/>
                    </w:rPr>
                  </w:pPr>
                  <w:r w:rsidRPr="00C46DB5">
                    <w:rPr>
                      <w:rFonts w:eastAsia="MS Mincho"/>
                      <w:lang w:val="en-US"/>
                    </w:rPr>
                    <w:t>Premium Paid</w:t>
                  </w:r>
                </w:p>
              </w:tc>
              <w:tc>
                <w:tcPr>
                  <w:tcW w:w="1892" w:type="dxa"/>
                  <w:shd w:val="clear" w:color="auto" w:fill="A21C26" w:themeFill="text2"/>
                </w:tcPr>
                <w:p w14:paraId="5020218D" w14:textId="77777777" w:rsidR="002B3158" w:rsidRPr="00491DB0" w:rsidRDefault="002B3158" w:rsidP="0087767B">
                  <w:pPr>
                    <w:pStyle w:val="GuideStyle"/>
                    <w:spacing w:after="0"/>
                    <w:ind w:right="163"/>
                    <w:jc w:val="center"/>
                    <w:rPr>
                      <w:rFonts w:eastAsia="MS Mincho"/>
                      <w:color w:val="auto"/>
                      <w:lang w:val="en-US"/>
                    </w:rPr>
                  </w:pPr>
                  <w:r w:rsidRPr="00C46DB5">
                    <w:rPr>
                      <w:rFonts w:eastAsia="MS Mincho"/>
                      <w:lang w:val="en-US"/>
                    </w:rPr>
                    <w:t>Payments</w:t>
                  </w:r>
                </w:p>
              </w:tc>
              <w:tc>
                <w:tcPr>
                  <w:tcW w:w="1893" w:type="dxa"/>
                  <w:shd w:val="clear" w:color="auto" w:fill="A21C26" w:themeFill="text2"/>
                </w:tcPr>
                <w:p w14:paraId="7BB3EE65" w14:textId="77777777" w:rsidR="002B3158" w:rsidRPr="00491DB0" w:rsidRDefault="002B3158" w:rsidP="0087767B">
                  <w:pPr>
                    <w:pStyle w:val="GuideStyle"/>
                    <w:spacing w:after="0"/>
                    <w:ind w:right="163"/>
                    <w:jc w:val="center"/>
                    <w:rPr>
                      <w:rFonts w:eastAsia="MS Mincho"/>
                      <w:color w:val="auto"/>
                      <w:lang w:val="en-US"/>
                    </w:rPr>
                  </w:pPr>
                  <w:r w:rsidRPr="00C46DB5">
                    <w:rPr>
                      <w:rFonts w:eastAsia="MS Mincho"/>
                      <w:lang w:val="en-US"/>
                    </w:rPr>
                    <w:t>Difference</w:t>
                  </w:r>
                </w:p>
              </w:tc>
            </w:tr>
            <w:tr w:rsidR="002B3158" w14:paraId="1B6F4541" w14:textId="77777777" w:rsidTr="00B75ADE">
              <w:trPr>
                <w:cnfStyle w:val="000000100000" w:firstRow="0" w:lastRow="0" w:firstColumn="0" w:lastColumn="0" w:oddVBand="0" w:evenVBand="0" w:oddHBand="1" w:evenHBand="0" w:firstRowFirstColumn="0" w:firstRowLastColumn="0" w:lastRowFirstColumn="0" w:lastRowLastColumn="0"/>
              </w:trPr>
              <w:tc>
                <w:tcPr>
                  <w:tcW w:w="1892" w:type="dxa"/>
                </w:tcPr>
                <w:p w14:paraId="26BAC59E" w14:textId="77777777" w:rsidR="002B3158" w:rsidRDefault="002B3158" w:rsidP="0087767B">
                  <w:pPr>
                    <w:pStyle w:val="GuideStyle"/>
                    <w:spacing w:before="0" w:after="0"/>
                    <w:ind w:right="163"/>
                    <w:rPr>
                      <w:rFonts w:eastAsia="MS Mincho"/>
                      <w:lang w:val="en-US"/>
                    </w:rPr>
                  </w:pPr>
                  <w:r>
                    <w:rPr>
                      <w:rFonts w:eastAsia="MS Mincho"/>
                      <w:lang w:val="en-US"/>
                    </w:rPr>
                    <w:t>Company 1</w:t>
                  </w:r>
                </w:p>
              </w:tc>
              <w:tc>
                <w:tcPr>
                  <w:tcW w:w="1892" w:type="dxa"/>
                </w:tcPr>
                <w:p w14:paraId="663C09A0" w14:textId="77777777" w:rsidR="002B3158" w:rsidRDefault="002B3158" w:rsidP="0087767B">
                  <w:pPr>
                    <w:pStyle w:val="GuideStyle"/>
                    <w:spacing w:before="0" w:after="0"/>
                    <w:ind w:right="163"/>
                    <w:rPr>
                      <w:rFonts w:eastAsia="MS Mincho"/>
                      <w:lang w:val="en-US"/>
                    </w:rPr>
                  </w:pPr>
                  <w:r>
                    <w:rPr>
                      <w:rFonts w:eastAsia="MS Mincho"/>
                      <w:lang w:val="en-US"/>
                    </w:rPr>
                    <w:t>$500,000</w:t>
                  </w:r>
                </w:p>
              </w:tc>
              <w:tc>
                <w:tcPr>
                  <w:tcW w:w="1892" w:type="dxa"/>
                </w:tcPr>
                <w:p w14:paraId="284A270D" w14:textId="77777777" w:rsidR="002B3158" w:rsidRDefault="002B3158" w:rsidP="0087767B">
                  <w:pPr>
                    <w:pStyle w:val="GuideStyle"/>
                    <w:spacing w:before="0" w:after="0"/>
                    <w:ind w:right="163"/>
                    <w:rPr>
                      <w:rFonts w:eastAsia="MS Mincho"/>
                      <w:lang w:val="en-US"/>
                    </w:rPr>
                  </w:pPr>
                  <w:r>
                    <w:rPr>
                      <w:rFonts w:eastAsia="MS Mincho"/>
                      <w:lang w:val="en-US"/>
                    </w:rPr>
                    <w:t>$350,000</w:t>
                  </w:r>
                </w:p>
              </w:tc>
              <w:tc>
                <w:tcPr>
                  <w:tcW w:w="1893" w:type="dxa"/>
                </w:tcPr>
                <w:p w14:paraId="3FC8F517" w14:textId="77777777" w:rsidR="002B3158" w:rsidRDefault="002B3158" w:rsidP="0087767B">
                  <w:pPr>
                    <w:pStyle w:val="GuideStyle"/>
                    <w:spacing w:before="0" w:after="0"/>
                    <w:ind w:right="163"/>
                    <w:rPr>
                      <w:rFonts w:eastAsia="MS Mincho"/>
                      <w:lang w:val="en-US"/>
                    </w:rPr>
                  </w:pPr>
                  <w:r>
                    <w:rPr>
                      <w:rFonts w:eastAsia="MS Mincho"/>
                      <w:lang w:val="en-US"/>
                    </w:rPr>
                    <w:t>$150,000</w:t>
                  </w:r>
                </w:p>
              </w:tc>
            </w:tr>
            <w:tr w:rsidR="002B3158" w14:paraId="2FC13007" w14:textId="77777777" w:rsidTr="00B75ADE">
              <w:trPr>
                <w:cnfStyle w:val="000000010000" w:firstRow="0" w:lastRow="0" w:firstColumn="0" w:lastColumn="0" w:oddVBand="0" w:evenVBand="0" w:oddHBand="0" w:evenHBand="1" w:firstRowFirstColumn="0" w:firstRowLastColumn="0" w:lastRowFirstColumn="0" w:lastRowLastColumn="0"/>
              </w:trPr>
              <w:tc>
                <w:tcPr>
                  <w:tcW w:w="1892" w:type="dxa"/>
                </w:tcPr>
                <w:p w14:paraId="16C0968C" w14:textId="77777777" w:rsidR="002B3158" w:rsidRDefault="002B3158" w:rsidP="0087767B">
                  <w:pPr>
                    <w:pStyle w:val="GuideStyle"/>
                    <w:spacing w:before="0" w:after="0"/>
                    <w:ind w:right="163"/>
                    <w:rPr>
                      <w:rFonts w:eastAsia="MS Mincho"/>
                      <w:lang w:val="en-US"/>
                    </w:rPr>
                  </w:pPr>
                  <w:r>
                    <w:rPr>
                      <w:rFonts w:eastAsia="MS Mincho"/>
                      <w:lang w:val="en-US"/>
                    </w:rPr>
                    <w:t>Company 2</w:t>
                  </w:r>
                </w:p>
              </w:tc>
              <w:tc>
                <w:tcPr>
                  <w:tcW w:w="1892" w:type="dxa"/>
                </w:tcPr>
                <w:p w14:paraId="755C3AB8" w14:textId="77777777" w:rsidR="002B3158" w:rsidRDefault="002B3158" w:rsidP="0087767B">
                  <w:pPr>
                    <w:pStyle w:val="GuideStyle"/>
                    <w:spacing w:before="0" w:after="0"/>
                    <w:ind w:right="163"/>
                    <w:rPr>
                      <w:rFonts w:eastAsia="MS Mincho"/>
                      <w:lang w:val="en-US"/>
                    </w:rPr>
                  </w:pPr>
                  <w:r>
                    <w:rPr>
                      <w:rFonts w:eastAsia="MS Mincho"/>
                      <w:lang w:val="en-US"/>
                    </w:rPr>
                    <w:t>$600,000</w:t>
                  </w:r>
                </w:p>
              </w:tc>
              <w:tc>
                <w:tcPr>
                  <w:tcW w:w="1892" w:type="dxa"/>
                </w:tcPr>
                <w:p w14:paraId="6E459815" w14:textId="77777777" w:rsidR="002B3158" w:rsidRDefault="002B3158" w:rsidP="0087767B">
                  <w:pPr>
                    <w:pStyle w:val="GuideStyle"/>
                    <w:spacing w:before="0" w:after="0"/>
                    <w:ind w:right="163"/>
                    <w:rPr>
                      <w:rFonts w:eastAsia="MS Mincho"/>
                      <w:lang w:val="en-US"/>
                    </w:rPr>
                  </w:pPr>
                  <w:r>
                    <w:rPr>
                      <w:rFonts w:eastAsia="MS Mincho"/>
                      <w:lang w:val="en-US"/>
                    </w:rPr>
                    <w:t>$250,000</w:t>
                  </w:r>
                </w:p>
              </w:tc>
              <w:tc>
                <w:tcPr>
                  <w:tcW w:w="1893" w:type="dxa"/>
                </w:tcPr>
                <w:p w14:paraId="7EE8458D" w14:textId="77777777" w:rsidR="002B3158" w:rsidRDefault="002B3158" w:rsidP="0087767B">
                  <w:pPr>
                    <w:pStyle w:val="GuideStyle"/>
                    <w:spacing w:before="0" w:after="0"/>
                    <w:ind w:right="163"/>
                    <w:rPr>
                      <w:rFonts w:eastAsia="MS Mincho"/>
                      <w:lang w:val="en-US"/>
                    </w:rPr>
                  </w:pPr>
                  <w:r>
                    <w:rPr>
                      <w:rFonts w:eastAsia="MS Mincho"/>
                      <w:lang w:val="en-US"/>
                    </w:rPr>
                    <w:t>$350,000</w:t>
                  </w:r>
                </w:p>
              </w:tc>
            </w:tr>
            <w:tr w:rsidR="002B3158" w14:paraId="61310A26" w14:textId="77777777" w:rsidTr="00B75ADE">
              <w:trPr>
                <w:cnfStyle w:val="000000100000" w:firstRow="0" w:lastRow="0" w:firstColumn="0" w:lastColumn="0" w:oddVBand="0" w:evenVBand="0" w:oddHBand="1" w:evenHBand="0" w:firstRowFirstColumn="0" w:firstRowLastColumn="0" w:lastRowFirstColumn="0" w:lastRowLastColumn="0"/>
              </w:trPr>
              <w:tc>
                <w:tcPr>
                  <w:tcW w:w="1892" w:type="dxa"/>
                </w:tcPr>
                <w:p w14:paraId="215C557C" w14:textId="77777777" w:rsidR="002B3158" w:rsidRDefault="002B3158" w:rsidP="0087767B">
                  <w:pPr>
                    <w:pStyle w:val="GuideStyle"/>
                    <w:spacing w:before="0" w:after="0"/>
                    <w:ind w:right="163"/>
                    <w:rPr>
                      <w:rFonts w:eastAsia="MS Mincho"/>
                      <w:lang w:val="en-US"/>
                    </w:rPr>
                  </w:pPr>
                  <w:r>
                    <w:rPr>
                      <w:rFonts w:eastAsia="MS Mincho"/>
                      <w:lang w:val="en-US"/>
                    </w:rPr>
                    <w:t>Company 3</w:t>
                  </w:r>
                </w:p>
              </w:tc>
              <w:tc>
                <w:tcPr>
                  <w:tcW w:w="1892" w:type="dxa"/>
                </w:tcPr>
                <w:p w14:paraId="6E4840D3" w14:textId="77777777" w:rsidR="002B3158" w:rsidRDefault="002B3158" w:rsidP="0087767B">
                  <w:pPr>
                    <w:pStyle w:val="GuideStyle"/>
                    <w:spacing w:before="0" w:after="0"/>
                    <w:ind w:right="163"/>
                    <w:rPr>
                      <w:rFonts w:eastAsia="MS Mincho"/>
                      <w:lang w:val="en-US"/>
                    </w:rPr>
                  </w:pPr>
                  <w:r>
                    <w:rPr>
                      <w:rFonts w:eastAsia="MS Mincho"/>
                      <w:lang w:val="en-US"/>
                    </w:rPr>
                    <w:t>$325,000</w:t>
                  </w:r>
                </w:p>
              </w:tc>
              <w:tc>
                <w:tcPr>
                  <w:tcW w:w="1892" w:type="dxa"/>
                </w:tcPr>
                <w:p w14:paraId="64EBC321" w14:textId="77777777" w:rsidR="002B3158" w:rsidRDefault="002B3158" w:rsidP="0087767B">
                  <w:pPr>
                    <w:pStyle w:val="GuideStyle"/>
                    <w:spacing w:before="0" w:after="0"/>
                    <w:ind w:right="163"/>
                    <w:rPr>
                      <w:rFonts w:eastAsia="MS Mincho"/>
                      <w:lang w:val="en-US"/>
                    </w:rPr>
                  </w:pPr>
                  <w:r>
                    <w:rPr>
                      <w:rFonts w:eastAsia="MS Mincho"/>
                      <w:lang w:val="en-US"/>
                    </w:rPr>
                    <w:t>$325,000</w:t>
                  </w:r>
                </w:p>
              </w:tc>
              <w:tc>
                <w:tcPr>
                  <w:tcW w:w="1893" w:type="dxa"/>
                </w:tcPr>
                <w:p w14:paraId="43A9B928" w14:textId="77777777" w:rsidR="002B3158" w:rsidRDefault="002B3158" w:rsidP="0087767B">
                  <w:pPr>
                    <w:pStyle w:val="GuideStyle"/>
                    <w:spacing w:before="0" w:after="0"/>
                    <w:ind w:right="163"/>
                    <w:rPr>
                      <w:rFonts w:eastAsia="MS Mincho"/>
                      <w:lang w:val="en-US"/>
                    </w:rPr>
                  </w:pPr>
                  <w:r>
                    <w:rPr>
                      <w:rFonts w:eastAsia="MS Mincho"/>
                      <w:lang w:val="en-US"/>
                    </w:rPr>
                    <w:t>$0,000</w:t>
                  </w:r>
                </w:p>
              </w:tc>
            </w:tr>
            <w:tr w:rsidR="002B3158" w14:paraId="69FBDCFA" w14:textId="77777777" w:rsidTr="00B75ADE">
              <w:trPr>
                <w:cnfStyle w:val="000000010000" w:firstRow="0" w:lastRow="0" w:firstColumn="0" w:lastColumn="0" w:oddVBand="0" w:evenVBand="0" w:oddHBand="0" w:evenHBand="1" w:firstRowFirstColumn="0" w:firstRowLastColumn="0" w:lastRowFirstColumn="0" w:lastRowLastColumn="0"/>
              </w:trPr>
              <w:tc>
                <w:tcPr>
                  <w:tcW w:w="1892" w:type="dxa"/>
                </w:tcPr>
                <w:p w14:paraId="315F2CBF" w14:textId="77777777" w:rsidR="002B3158" w:rsidRDefault="002B3158" w:rsidP="0087767B">
                  <w:pPr>
                    <w:pStyle w:val="GuideStyle"/>
                    <w:spacing w:before="0" w:after="0"/>
                    <w:ind w:right="163"/>
                    <w:rPr>
                      <w:rFonts w:eastAsia="MS Mincho"/>
                      <w:lang w:val="en-US"/>
                    </w:rPr>
                  </w:pPr>
                  <w:r>
                    <w:rPr>
                      <w:rFonts w:eastAsia="MS Mincho"/>
                      <w:lang w:val="en-US"/>
                    </w:rPr>
                    <w:t>Total</w:t>
                  </w:r>
                </w:p>
              </w:tc>
              <w:tc>
                <w:tcPr>
                  <w:tcW w:w="1892" w:type="dxa"/>
                </w:tcPr>
                <w:p w14:paraId="2B44662B" w14:textId="77777777" w:rsidR="002B3158" w:rsidRDefault="002B3158" w:rsidP="0087767B">
                  <w:pPr>
                    <w:pStyle w:val="GuideStyle"/>
                    <w:spacing w:before="0" w:after="0"/>
                    <w:ind w:right="163"/>
                    <w:rPr>
                      <w:rFonts w:eastAsia="MS Mincho"/>
                      <w:lang w:val="en-US"/>
                    </w:rPr>
                  </w:pPr>
                  <w:r>
                    <w:rPr>
                      <w:rFonts w:eastAsia="MS Mincho"/>
                      <w:lang w:val="en-US"/>
                    </w:rPr>
                    <w:t>$1,400,000</w:t>
                  </w:r>
                </w:p>
              </w:tc>
              <w:tc>
                <w:tcPr>
                  <w:tcW w:w="1892" w:type="dxa"/>
                </w:tcPr>
                <w:p w14:paraId="7A103DBC" w14:textId="77777777" w:rsidR="002B3158" w:rsidRDefault="002B3158" w:rsidP="0087767B">
                  <w:pPr>
                    <w:pStyle w:val="GuideStyle"/>
                    <w:spacing w:before="0" w:after="0"/>
                    <w:ind w:right="163"/>
                    <w:rPr>
                      <w:rFonts w:eastAsia="MS Mincho"/>
                      <w:lang w:val="en-US"/>
                    </w:rPr>
                  </w:pPr>
                  <w:r>
                    <w:rPr>
                      <w:rFonts w:eastAsia="MS Mincho"/>
                      <w:lang w:val="en-US"/>
                    </w:rPr>
                    <w:t>$925,000</w:t>
                  </w:r>
                </w:p>
              </w:tc>
              <w:tc>
                <w:tcPr>
                  <w:tcW w:w="1893" w:type="dxa"/>
                </w:tcPr>
                <w:p w14:paraId="5C1D4563" w14:textId="77777777" w:rsidR="002B3158" w:rsidRDefault="002B3158" w:rsidP="0087767B">
                  <w:pPr>
                    <w:pStyle w:val="GuideStyle"/>
                    <w:spacing w:before="0" w:after="0"/>
                    <w:ind w:right="163"/>
                    <w:rPr>
                      <w:rFonts w:eastAsia="MS Mincho"/>
                      <w:lang w:val="en-US"/>
                    </w:rPr>
                  </w:pPr>
                  <w:r>
                    <w:rPr>
                      <w:rFonts w:eastAsia="MS Mincho"/>
                      <w:lang w:val="en-US"/>
                    </w:rPr>
                    <w:t>$500,000</w:t>
                  </w:r>
                </w:p>
              </w:tc>
            </w:tr>
          </w:tbl>
          <w:p w14:paraId="0098BBF1" w14:textId="5EC9827E" w:rsidR="00952031" w:rsidRDefault="00952031" w:rsidP="00905A2E">
            <w:pPr>
              <w:pStyle w:val="GuideStyle"/>
              <w:ind w:right="163"/>
              <w:rPr>
                <w:rFonts w:eastAsia="MS Mincho"/>
                <w:lang w:val="en-US"/>
              </w:rPr>
            </w:pPr>
            <w:r>
              <w:rPr>
                <w:rFonts w:eastAsia="MS Mincho"/>
                <w:lang w:val="en-US"/>
              </w:rPr>
              <w:t xml:space="preserve">The liability transfer payment </w:t>
            </w:r>
            <w:r w:rsidR="00EA78C8">
              <w:rPr>
                <w:rFonts w:eastAsia="MS Mincho"/>
                <w:lang w:val="en-US"/>
              </w:rPr>
              <w:t xml:space="preserve">will </w:t>
            </w:r>
            <w:r>
              <w:rPr>
                <w:rFonts w:eastAsia="MS Mincho"/>
                <w:lang w:val="en-US"/>
              </w:rPr>
              <w:t xml:space="preserve">include an additional </w:t>
            </w:r>
            <w:r w:rsidR="00476D73">
              <w:rPr>
                <w:rFonts w:eastAsia="MS Mincho"/>
                <w:lang w:val="en-US"/>
              </w:rPr>
              <w:t xml:space="preserve">8% administration </w:t>
            </w:r>
            <w:r>
              <w:rPr>
                <w:rFonts w:eastAsia="MS Mincho"/>
                <w:lang w:val="en-US"/>
              </w:rPr>
              <w:t>component</w:t>
            </w:r>
            <w:r w:rsidR="001C7726">
              <w:rPr>
                <w:rFonts w:eastAsia="MS Mincho"/>
                <w:lang w:val="en-US"/>
              </w:rPr>
              <w:t xml:space="preserve">, calculated as </w:t>
            </w:r>
            <w:r>
              <w:rPr>
                <w:rFonts w:eastAsia="MS Mincho"/>
                <w:lang w:val="en-US"/>
              </w:rPr>
              <w:t>8% of the value of the adjusted outstanding claims liabilities.</w:t>
            </w:r>
          </w:p>
          <w:p w14:paraId="7E6ECB7D" w14:textId="3377CDEB" w:rsidR="00EC1B2A" w:rsidRPr="00885F48" w:rsidRDefault="00952031">
            <w:pPr>
              <w:pStyle w:val="GuideStyle"/>
              <w:ind w:right="163"/>
              <w:rPr>
                <w:rFonts w:eastAsia="MS Mincho"/>
                <w:sz w:val="21"/>
                <w:szCs w:val="21"/>
                <w:lang w:val="en-US"/>
              </w:rPr>
            </w:pPr>
            <w:r>
              <w:rPr>
                <w:rFonts w:eastAsia="MS Mincho"/>
                <w:lang w:val="en-US"/>
              </w:rPr>
              <w:t>The NP</w:t>
            </w:r>
            <w:r w:rsidR="00FE2BAA">
              <w:rPr>
                <w:rFonts w:eastAsia="MS Mincho"/>
                <w:lang w:val="en-US"/>
              </w:rPr>
              <w:t>P</w:t>
            </w:r>
            <w:r w:rsidR="00EC1B2A">
              <w:rPr>
                <w:rFonts w:eastAsia="MS Mincho"/>
                <w:lang w:val="en-US"/>
              </w:rPr>
              <w:t xml:space="preserve"> applies to the value of OCL inclusive of the 8% administrative component. </w:t>
            </w:r>
            <w:r w:rsidR="00CB1ED7">
              <w:rPr>
                <w:rFonts w:eastAsia="MS Mincho"/>
                <w:lang w:val="en-US"/>
              </w:rPr>
              <w:t>(</w:t>
            </w:r>
            <w:r w:rsidR="00EC1B2A">
              <w:rPr>
                <w:rFonts w:eastAsia="MS Mincho"/>
                <w:lang w:val="en-US"/>
              </w:rPr>
              <w:t xml:space="preserve">Refer </w:t>
            </w:r>
            <w:r w:rsidR="00CB1ED7" w:rsidRPr="00B13CB9">
              <w:rPr>
                <w:rFonts w:eastAsia="MS Mincho"/>
                <w:u w:val="single" w:color="C00000"/>
                <w:lang w:val="en-US"/>
              </w:rPr>
              <w:fldChar w:fldCharType="begin"/>
            </w:r>
            <w:r w:rsidR="00CB1ED7" w:rsidRPr="00CB1ED7">
              <w:rPr>
                <w:rFonts w:eastAsia="MS Mincho"/>
                <w:u w:val="single" w:color="C00000"/>
                <w:lang w:val="en-US"/>
              </w:rPr>
              <w:instrText xml:space="preserve"> REF Example_Calculation \h  \* MERGEFORMAT </w:instrText>
            </w:r>
            <w:r w:rsidR="00CB1ED7" w:rsidRPr="00B13CB9">
              <w:rPr>
                <w:rFonts w:eastAsia="MS Mincho"/>
                <w:u w:val="single" w:color="C00000"/>
                <w:lang w:val="en-US"/>
              </w:rPr>
            </w:r>
            <w:r w:rsidR="00CB1ED7" w:rsidRPr="00B13CB9">
              <w:rPr>
                <w:rFonts w:eastAsia="MS Mincho"/>
                <w:u w:val="single" w:color="C00000"/>
                <w:lang w:val="en-US"/>
              </w:rPr>
              <w:fldChar w:fldCharType="separate"/>
            </w:r>
            <w:r w:rsidR="00EE054B" w:rsidRPr="00EE054B">
              <w:rPr>
                <w:rFonts w:eastAsia="MS Mincho"/>
                <w:u w:val="single" w:color="C00000"/>
                <w:lang w:val="en-US"/>
              </w:rPr>
              <w:t>Example Calculations</w:t>
            </w:r>
            <w:r w:rsidR="00CB1ED7" w:rsidRPr="00B13CB9">
              <w:rPr>
                <w:rFonts w:eastAsia="MS Mincho"/>
                <w:u w:val="single" w:color="C00000"/>
                <w:lang w:val="en-US"/>
              </w:rPr>
              <w:fldChar w:fldCharType="end"/>
            </w:r>
            <w:r w:rsidR="00CB1ED7" w:rsidRPr="005D314F">
              <w:rPr>
                <w:rFonts w:eastAsia="MS Mincho"/>
                <w:lang w:val="en-US"/>
              </w:rPr>
              <w:t>).</w:t>
            </w:r>
          </w:p>
        </w:tc>
      </w:tr>
    </w:tbl>
    <w:p w14:paraId="2EDCD242" w14:textId="77777777" w:rsidR="002B3158" w:rsidRDefault="002B3158" w:rsidP="00905A2E">
      <w:pPr>
        <w:spacing w:line="240" w:lineRule="auto"/>
        <w:ind w:right="163"/>
        <w:rPr>
          <w:rFonts w:ascii="Source Sans Pro" w:eastAsia="MS Mincho" w:hAnsi="Source Sans Pro" w:cs="SourceSansPro-Light"/>
          <w:color w:val="000000"/>
          <w:lang w:val="en-US"/>
        </w:rPr>
      </w:pPr>
    </w:p>
    <w:p w14:paraId="687AEECA" w14:textId="77777777" w:rsidR="00905A2E" w:rsidRDefault="00905A2E" w:rsidP="00905A2E">
      <w:pPr>
        <w:spacing w:line="240" w:lineRule="auto"/>
        <w:ind w:right="163"/>
        <w:rPr>
          <w:rFonts w:ascii="Source Sans Pro" w:eastAsiaTheme="majorEastAsia" w:hAnsi="Source Sans Pro" w:cstheme="majorBidi"/>
          <w:b/>
          <w:color w:val="A21C26"/>
          <w:sz w:val="56"/>
        </w:rPr>
        <w:sectPr w:rsidR="00905A2E" w:rsidSect="00B75ADE">
          <w:headerReference w:type="default" r:id="rId22"/>
          <w:pgSz w:w="11907" w:h="16840" w:code="9"/>
          <w:pgMar w:top="1100" w:right="1418" w:bottom="1276" w:left="1418" w:header="567" w:footer="482" w:gutter="0"/>
          <w:cols w:space="720"/>
        </w:sectPr>
      </w:pPr>
    </w:p>
    <w:p w14:paraId="4F2799CB" w14:textId="77777777" w:rsidR="002B3158" w:rsidRPr="002B00BC" w:rsidRDefault="002B3158" w:rsidP="008A158D">
      <w:pPr>
        <w:pStyle w:val="Heading2"/>
        <w:ind w:left="567"/>
        <w:rPr>
          <w:lang w:val="en-US"/>
        </w:rPr>
      </w:pPr>
      <w:bookmarkStart w:id="4" w:name="_Toc29451795"/>
      <w:r w:rsidRPr="002B00BC">
        <w:rPr>
          <w:lang w:val="en-US"/>
        </w:rPr>
        <w:lastRenderedPageBreak/>
        <w:t>Liability Transfer Payment – Commencing Self-Insurance</w:t>
      </w:r>
      <w:bookmarkEnd w:id="4"/>
    </w:p>
    <w:p w14:paraId="6E6206F5" w14:textId="48830C54" w:rsidR="001C7726" w:rsidRDefault="001C7726" w:rsidP="00B13CB9">
      <w:pPr>
        <w:widowControl w:val="0"/>
        <w:tabs>
          <w:tab w:val="left" w:pos="689"/>
        </w:tabs>
        <w:suppressAutoHyphens/>
        <w:autoSpaceDE w:val="0"/>
        <w:autoSpaceDN w:val="0"/>
        <w:adjustRightInd w:val="0"/>
        <w:spacing w:after="120" w:line="276" w:lineRule="auto"/>
        <w:ind w:left="567" w:right="163"/>
        <w:textAlignment w:val="center"/>
        <w:rPr>
          <w:rFonts w:ascii="Source Sans Pro" w:eastAsia="MS Mincho" w:hAnsi="Source Sans Pro" w:cs="SourceSansPro-Light"/>
          <w:color w:val="000000"/>
          <w:szCs w:val="22"/>
          <w:lang w:val="en-US"/>
        </w:rPr>
      </w:pPr>
    </w:p>
    <w:p w14:paraId="41B1CA15" w14:textId="6A3EECDE" w:rsidR="002B3158" w:rsidRDefault="002B3158" w:rsidP="008A158D">
      <w:pPr>
        <w:widowControl w:val="0"/>
        <w:suppressAutoHyphens/>
        <w:autoSpaceDE w:val="0"/>
        <w:autoSpaceDN w:val="0"/>
        <w:adjustRightInd w:val="0"/>
        <w:spacing w:after="120" w:line="276" w:lineRule="auto"/>
        <w:ind w:left="567" w:right="163"/>
        <w:textAlignment w:val="center"/>
        <w:rPr>
          <w:rFonts w:ascii="Source Sans Pro" w:eastAsia="MS Mincho" w:hAnsi="Source Sans Pro" w:cs="SourceSansPro-Light"/>
          <w:color w:val="000000"/>
          <w:szCs w:val="22"/>
          <w:lang w:val="en-US"/>
        </w:rPr>
      </w:pPr>
      <w:r w:rsidRPr="00B945B5">
        <w:rPr>
          <w:rFonts w:ascii="Source Sans Pro" w:eastAsia="MS Mincho" w:hAnsi="Source Sans Pro" w:cs="SourceSansPro-Light"/>
          <w:color w:val="000000"/>
          <w:szCs w:val="22"/>
          <w:lang w:val="en-US"/>
        </w:rPr>
        <w:t>Prior to the consideratio</w:t>
      </w:r>
      <w:r>
        <w:rPr>
          <w:rFonts w:ascii="Source Sans Pro" w:eastAsia="MS Mincho" w:hAnsi="Source Sans Pro" w:cs="SourceSansPro-Light"/>
          <w:color w:val="000000"/>
          <w:szCs w:val="22"/>
          <w:lang w:val="en-US"/>
        </w:rPr>
        <w:t>n of the employer’s application</w:t>
      </w:r>
      <w:r w:rsidR="001C7726">
        <w:rPr>
          <w:rFonts w:ascii="Source Sans Pro" w:eastAsia="MS Mincho" w:hAnsi="Source Sans Pro" w:cs="SourceSansPro-Light"/>
          <w:color w:val="000000"/>
          <w:szCs w:val="22"/>
          <w:lang w:val="en-US"/>
        </w:rPr>
        <w:t xml:space="preserve"> for self-insurance</w:t>
      </w:r>
      <w:r w:rsidR="00784F54">
        <w:rPr>
          <w:rFonts w:ascii="Source Sans Pro" w:eastAsia="MS Mincho" w:hAnsi="Source Sans Pro" w:cs="SourceSansPro-Light"/>
          <w:color w:val="000000"/>
          <w:szCs w:val="22"/>
          <w:lang w:val="en-US"/>
        </w:rPr>
        <w:t xml:space="preserve"> by ReturnToWorkSA</w:t>
      </w:r>
      <w:r>
        <w:rPr>
          <w:rFonts w:ascii="Source Sans Pro" w:eastAsia="MS Mincho" w:hAnsi="Source Sans Pro" w:cs="SourceSansPro-Light"/>
          <w:color w:val="000000"/>
          <w:szCs w:val="22"/>
          <w:lang w:val="en-US"/>
        </w:rPr>
        <w:t xml:space="preserve">, </w:t>
      </w:r>
      <w:r w:rsidRPr="00B945B5">
        <w:rPr>
          <w:rFonts w:ascii="Source Sans Pro" w:eastAsia="MS Mincho" w:hAnsi="Source Sans Pro" w:cs="SourceSansPro-Light"/>
          <w:color w:val="000000"/>
          <w:szCs w:val="22"/>
          <w:lang w:val="en-US"/>
        </w:rPr>
        <w:t xml:space="preserve">the value of the </w:t>
      </w:r>
      <w:r>
        <w:rPr>
          <w:rFonts w:ascii="Source Sans Pro" w:eastAsia="MS Mincho" w:hAnsi="Source Sans Pro" w:cs="SourceSansPro-Light"/>
          <w:color w:val="000000"/>
          <w:szCs w:val="22"/>
          <w:lang w:val="en-US"/>
        </w:rPr>
        <w:t xml:space="preserve">LTP </w:t>
      </w:r>
      <w:r w:rsidR="00924C05">
        <w:rPr>
          <w:rFonts w:ascii="Source Sans Pro" w:eastAsia="MS Mincho" w:hAnsi="Source Sans Pro" w:cs="SourceSansPro-Light"/>
          <w:color w:val="000000"/>
          <w:szCs w:val="22"/>
          <w:lang w:val="en-US"/>
        </w:rPr>
        <w:t>is to</w:t>
      </w:r>
      <w:r w:rsidR="00924C05" w:rsidRPr="00B945B5">
        <w:rPr>
          <w:rFonts w:ascii="Source Sans Pro" w:eastAsia="MS Mincho" w:hAnsi="Source Sans Pro" w:cs="SourceSansPro-Light"/>
          <w:color w:val="000000"/>
          <w:szCs w:val="22"/>
          <w:lang w:val="en-US"/>
        </w:rPr>
        <w:t xml:space="preserve"> </w:t>
      </w:r>
      <w:r w:rsidRPr="00B945B5">
        <w:rPr>
          <w:rFonts w:ascii="Source Sans Pro" w:eastAsia="MS Mincho" w:hAnsi="Source Sans Pro" w:cs="SourceSansPro-Light"/>
          <w:color w:val="000000"/>
          <w:szCs w:val="22"/>
          <w:lang w:val="en-US"/>
        </w:rPr>
        <w:t>be agreed.</w:t>
      </w:r>
      <w:r w:rsidR="00E97C4D">
        <w:rPr>
          <w:rFonts w:ascii="Source Sans Pro" w:eastAsia="MS Mincho" w:hAnsi="Source Sans Pro" w:cs="SourceSansPro-Light"/>
          <w:color w:val="000000"/>
          <w:szCs w:val="22"/>
          <w:lang w:val="en-US"/>
        </w:rPr>
        <w:t xml:space="preserve"> </w:t>
      </w:r>
    </w:p>
    <w:p w14:paraId="5CB5C7F0" w14:textId="77777777" w:rsidR="002B3158" w:rsidRPr="002B00BC" w:rsidRDefault="002B3158" w:rsidP="00B13CB9">
      <w:pPr>
        <w:pStyle w:val="Heading4"/>
        <w:ind w:left="567"/>
        <w:rPr>
          <w:i w:val="0"/>
        </w:rPr>
      </w:pPr>
      <w:r w:rsidRPr="002B00BC">
        <w:rPr>
          <w:i w:val="0"/>
        </w:rPr>
        <w:t>Liability Transfer Payment</w:t>
      </w:r>
    </w:p>
    <w:tbl>
      <w:tblPr>
        <w:tblStyle w:val="TableGridLight"/>
        <w:tblW w:w="471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1"/>
        <w:gridCol w:w="8177"/>
      </w:tblGrid>
      <w:tr w:rsidR="002B3158" w:rsidRPr="00847AC2" w14:paraId="4A705CDD" w14:textId="77777777" w:rsidTr="00B13CB9">
        <w:trPr>
          <w:trHeight w:val="1572"/>
        </w:trPr>
        <w:tc>
          <w:tcPr>
            <w:tcW w:w="814" w:type="pct"/>
            <w:shd w:val="clear" w:color="auto" w:fill="E3E87D" w:themeFill="accent3" w:themeFillTint="99"/>
          </w:tcPr>
          <w:p w14:paraId="44C41E20" w14:textId="77777777" w:rsidR="002B3158" w:rsidRPr="00847AC2" w:rsidRDefault="002B3158" w:rsidP="0064485D">
            <w:pPr>
              <w:pStyle w:val="Bullet1"/>
              <w:numPr>
                <w:ilvl w:val="0"/>
                <w:numId w:val="0"/>
              </w:numPr>
              <w:ind w:right="163"/>
              <w:jc w:val="both"/>
            </w:pPr>
            <w:r>
              <w:t xml:space="preserve">Net Premium Position </w:t>
            </w:r>
          </w:p>
        </w:tc>
        <w:tc>
          <w:tcPr>
            <w:tcW w:w="4186" w:type="pct"/>
          </w:tcPr>
          <w:p w14:paraId="32C48698" w14:textId="16239288" w:rsidR="002B3158" w:rsidRPr="001039C7" w:rsidRDefault="002B3158" w:rsidP="00B13CB9">
            <w:pPr>
              <w:pStyle w:val="GuideStyle"/>
              <w:rPr>
                <w:rFonts w:eastAsia="MS Mincho"/>
                <w:lang w:val="en-US"/>
              </w:rPr>
            </w:pPr>
            <w:r w:rsidRPr="001039C7">
              <w:rPr>
                <w:rFonts w:eastAsia="MS Mincho"/>
                <w:lang w:val="en-US"/>
              </w:rPr>
              <w:t xml:space="preserve">The Liability Transfer Payment will be the lesser of the NPP or </w:t>
            </w:r>
            <w:r w:rsidR="00E97C4D" w:rsidRPr="001039C7">
              <w:rPr>
                <w:rFonts w:eastAsia="MS Mincho"/>
                <w:lang w:val="en-US"/>
              </w:rPr>
              <w:t>OCL (</w:t>
            </w:r>
            <w:r w:rsidR="00E97C4D" w:rsidRPr="005E4684">
              <w:rPr>
                <w:rFonts w:eastAsia="MS Mincho"/>
                <w:lang w:val="en-US"/>
              </w:rPr>
              <w:t xml:space="preserve">Refer </w:t>
            </w:r>
            <w:r w:rsidR="00E97C4D" w:rsidRPr="001039C7">
              <w:rPr>
                <w:rFonts w:eastAsia="MS Mincho"/>
                <w:u w:val="single" w:color="C00000"/>
                <w:lang w:val="en-US"/>
              </w:rPr>
              <w:fldChar w:fldCharType="begin"/>
            </w:r>
            <w:r w:rsidR="00E97C4D" w:rsidRPr="00B13CB9">
              <w:rPr>
                <w:rFonts w:eastAsia="MS Mincho"/>
                <w:u w:val="single" w:color="C00000"/>
                <w:lang w:val="en-US"/>
              </w:rPr>
              <w:instrText xml:space="preserve"> REF Example_Calculation \h  \* MERGEFORMAT </w:instrText>
            </w:r>
            <w:r w:rsidR="00E97C4D" w:rsidRPr="001039C7">
              <w:rPr>
                <w:rFonts w:eastAsia="MS Mincho"/>
                <w:u w:val="single" w:color="C00000"/>
                <w:lang w:val="en-US"/>
              </w:rPr>
            </w:r>
            <w:r w:rsidR="00E97C4D" w:rsidRPr="001039C7">
              <w:rPr>
                <w:rFonts w:eastAsia="MS Mincho"/>
                <w:u w:val="single" w:color="C00000"/>
                <w:lang w:val="en-US"/>
              </w:rPr>
              <w:fldChar w:fldCharType="separate"/>
            </w:r>
            <w:r w:rsidR="00EE054B" w:rsidRPr="00EE054B">
              <w:rPr>
                <w:rFonts w:eastAsia="MS Mincho"/>
                <w:u w:val="single" w:color="C00000"/>
                <w:lang w:val="en-US"/>
              </w:rPr>
              <w:t>Example Calculations</w:t>
            </w:r>
            <w:r w:rsidR="00E97C4D" w:rsidRPr="001039C7">
              <w:rPr>
                <w:rFonts w:eastAsia="MS Mincho"/>
                <w:u w:val="single" w:color="C00000"/>
                <w:lang w:val="en-US"/>
              </w:rPr>
              <w:fldChar w:fldCharType="end"/>
            </w:r>
            <w:r w:rsidR="00E97C4D" w:rsidRPr="00B13CB9">
              <w:rPr>
                <w:rFonts w:eastAsia="MS Mincho"/>
                <w:lang w:val="en-US"/>
              </w:rPr>
              <w:t>)</w:t>
            </w:r>
            <w:r w:rsidRPr="00B0036E">
              <w:rPr>
                <w:rFonts w:eastAsia="MS Mincho"/>
                <w:lang w:val="en-US"/>
              </w:rPr>
              <w:t>. Therefore</w:t>
            </w:r>
            <w:r w:rsidRPr="001039C7">
              <w:rPr>
                <w:rFonts w:eastAsia="MS Mincho"/>
                <w:lang w:val="en-US"/>
              </w:rPr>
              <w:t>,</w:t>
            </w:r>
          </w:p>
          <w:p w14:paraId="386C4E4F" w14:textId="27449B1A" w:rsidR="002B3158" w:rsidRPr="00B13CB9" w:rsidRDefault="002B3158"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eastAsia="MS Mincho" w:cs="SourceSansPro-Light"/>
                <w:color w:val="000000"/>
                <w:lang w:val="en-US"/>
              </w:rPr>
            </w:pPr>
            <w:r w:rsidRPr="00B13CB9">
              <w:rPr>
                <w:rFonts w:ascii="Source Sans Pro" w:eastAsia="MS Mincho" w:hAnsi="Source Sans Pro" w:cs="SourceSansPro-Light"/>
                <w:color w:val="000000"/>
                <w:szCs w:val="24"/>
                <w:lang w:val="en-US"/>
              </w:rPr>
              <w:t>if OCL &gt; NPP then LTP = NPP</w:t>
            </w:r>
            <w:r w:rsidR="00EC1B2A" w:rsidRPr="00B13CB9">
              <w:rPr>
                <w:rFonts w:ascii="Source Sans Pro" w:eastAsia="MS Mincho" w:hAnsi="Source Sans Pro" w:cs="SourceSansPro-Light"/>
                <w:color w:val="000000"/>
                <w:szCs w:val="24"/>
                <w:lang w:val="en-US"/>
              </w:rPr>
              <w:t xml:space="preserve"> </w:t>
            </w:r>
          </w:p>
          <w:p w14:paraId="2E05056A" w14:textId="12A67CFA" w:rsidR="002B3158" w:rsidRPr="00B13CB9" w:rsidRDefault="002B3158"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eastAsia="MS Mincho" w:cs="SourceSansPro-Light"/>
                <w:color w:val="000000"/>
                <w:lang w:val="en-US"/>
              </w:rPr>
            </w:pPr>
            <w:r w:rsidRPr="00B13CB9">
              <w:rPr>
                <w:rFonts w:ascii="Source Sans Pro" w:eastAsia="MS Mincho" w:hAnsi="Source Sans Pro" w:cs="SourceSansPro-Light"/>
                <w:color w:val="000000"/>
                <w:szCs w:val="24"/>
                <w:lang w:val="en-US"/>
              </w:rPr>
              <w:t>if OCL &lt; NPP then LTP = OCL</w:t>
            </w:r>
            <w:r w:rsidR="00EC1B2A" w:rsidRPr="00B13CB9">
              <w:rPr>
                <w:rFonts w:ascii="Source Sans Pro" w:eastAsia="MS Mincho" w:hAnsi="Source Sans Pro" w:cs="SourceSansPro-Light"/>
                <w:color w:val="000000"/>
                <w:szCs w:val="24"/>
                <w:lang w:val="en-US"/>
              </w:rPr>
              <w:t xml:space="preserve"> </w:t>
            </w:r>
          </w:p>
          <w:p w14:paraId="11AD8FBF" w14:textId="3EF11564" w:rsidR="002B3158" w:rsidRPr="00491DB0" w:rsidRDefault="002B3158" w:rsidP="005C6092">
            <w:pPr>
              <w:pStyle w:val="GuideStyle"/>
              <w:ind w:right="163"/>
              <w:rPr>
                <w:rFonts w:eastAsiaTheme="majorEastAsia"/>
              </w:rPr>
            </w:pPr>
            <w:r w:rsidRPr="00491DB0">
              <w:rPr>
                <w:rFonts w:eastAsia="MS Mincho"/>
                <w:b/>
                <w:lang w:val="en-US"/>
              </w:rPr>
              <w:t>Note:</w:t>
            </w:r>
            <w:r w:rsidRPr="00491DB0">
              <w:rPr>
                <w:rFonts w:eastAsia="MS Mincho"/>
                <w:lang w:val="en-US"/>
              </w:rPr>
              <w:t xml:space="preserve"> The NPP calculation will be subject to adjustment up to the comme</w:t>
            </w:r>
            <w:r w:rsidR="005C6092">
              <w:rPr>
                <w:rFonts w:eastAsia="MS Mincho"/>
                <w:lang w:val="en-US"/>
              </w:rPr>
              <w:t>ncement date of the S</w:t>
            </w:r>
            <w:r w:rsidRPr="00491DB0">
              <w:rPr>
                <w:rFonts w:eastAsia="MS Mincho"/>
                <w:lang w:val="en-US"/>
              </w:rPr>
              <w:t>elf-insured</w:t>
            </w:r>
            <w:r w:rsidR="005C6092">
              <w:rPr>
                <w:rFonts w:eastAsia="MS Mincho"/>
                <w:lang w:val="en-US"/>
              </w:rPr>
              <w:t xml:space="preserve"> employer</w:t>
            </w:r>
            <w:r w:rsidRPr="00491DB0">
              <w:rPr>
                <w:rFonts w:eastAsia="MS Mincho"/>
                <w:lang w:val="en-US"/>
              </w:rPr>
              <w:t xml:space="preserve"> registration. Employers should consider the impact of a new financial year commencing when considering the NPP cap.</w:t>
            </w:r>
          </w:p>
        </w:tc>
      </w:tr>
      <w:tr w:rsidR="002B3158" w:rsidRPr="00847AC2" w14:paraId="669E6F2A" w14:textId="77777777" w:rsidTr="00B13CB9">
        <w:trPr>
          <w:trHeight w:val="615"/>
        </w:trPr>
        <w:tc>
          <w:tcPr>
            <w:tcW w:w="814" w:type="pct"/>
          </w:tcPr>
          <w:p w14:paraId="53A77941" w14:textId="77777777" w:rsidR="002B3158" w:rsidRPr="009E1679" w:rsidRDefault="002B3158" w:rsidP="0064485D">
            <w:pPr>
              <w:pStyle w:val="Bullet1"/>
              <w:numPr>
                <w:ilvl w:val="0"/>
                <w:numId w:val="0"/>
              </w:numPr>
              <w:ind w:right="163"/>
              <w:jc w:val="both"/>
            </w:pPr>
          </w:p>
        </w:tc>
        <w:tc>
          <w:tcPr>
            <w:tcW w:w="4186" w:type="pct"/>
          </w:tcPr>
          <w:p w14:paraId="5AE38CD3" w14:textId="77777777" w:rsidR="002B3158" w:rsidRPr="00847AC2" w:rsidRDefault="002B3158" w:rsidP="0064485D">
            <w:pPr>
              <w:pStyle w:val="Bodytext"/>
              <w:ind w:right="163"/>
              <w:jc w:val="both"/>
            </w:pPr>
          </w:p>
        </w:tc>
      </w:tr>
      <w:tr w:rsidR="002B3158" w:rsidRPr="00847AC2" w14:paraId="3DC35FED" w14:textId="77777777" w:rsidTr="00B13CB9">
        <w:trPr>
          <w:trHeight w:val="3549"/>
        </w:trPr>
        <w:tc>
          <w:tcPr>
            <w:tcW w:w="814" w:type="pct"/>
            <w:shd w:val="clear" w:color="auto" w:fill="E3E87D" w:themeFill="accent3" w:themeFillTint="99"/>
          </w:tcPr>
          <w:p w14:paraId="671B8967" w14:textId="77777777" w:rsidR="002B3158" w:rsidRPr="00491DB0" w:rsidRDefault="002B3158" w:rsidP="0064485D">
            <w:pPr>
              <w:pStyle w:val="GuideStyle"/>
              <w:ind w:right="163"/>
              <w:rPr>
                <w:rFonts w:eastAsia="MS Mincho"/>
                <w:lang w:val="en-US"/>
              </w:rPr>
            </w:pPr>
            <w:r>
              <w:rPr>
                <w:rFonts w:eastAsia="MS Mincho"/>
                <w:lang w:val="en-US"/>
              </w:rPr>
              <w:t>Interim Liability Transfer Calculation</w:t>
            </w:r>
          </w:p>
        </w:tc>
        <w:tc>
          <w:tcPr>
            <w:tcW w:w="4186" w:type="pct"/>
          </w:tcPr>
          <w:p w14:paraId="26732AE2" w14:textId="536D3DAF" w:rsidR="002B3158" w:rsidRDefault="00AB772D" w:rsidP="0064485D">
            <w:pPr>
              <w:pStyle w:val="GuideStyle"/>
              <w:ind w:right="163"/>
              <w:rPr>
                <w:rFonts w:eastAsia="MS Mincho"/>
                <w:lang w:val="en-US"/>
              </w:rPr>
            </w:pPr>
            <w:r>
              <w:rPr>
                <w:rFonts w:eastAsia="MS Mincho"/>
                <w:lang w:val="en-US"/>
              </w:rPr>
              <w:t>ReturnToWorkSA</w:t>
            </w:r>
            <w:r w:rsidR="002B3158">
              <w:rPr>
                <w:rFonts w:eastAsia="MS Mincho"/>
                <w:lang w:val="en-US"/>
              </w:rPr>
              <w:t xml:space="preserve"> will provide </w:t>
            </w:r>
            <w:r w:rsidR="00F1781B">
              <w:rPr>
                <w:rFonts w:eastAsia="MS Mincho"/>
                <w:lang w:val="en-US"/>
              </w:rPr>
              <w:t>the</w:t>
            </w:r>
            <w:r w:rsidR="002B3158">
              <w:rPr>
                <w:rFonts w:eastAsia="MS Mincho"/>
                <w:lang w:val="en-US"/>
              </w:rPr>
              <w:t xml:space="preserve"> employer with an interim calculation of the LTP</w:t>
            </w:r>
            <w:r w:rsidR="0047435C">
              <w:rPr>
                <w:rFonts w:eastAsia="MS Mincho"/>
                <w:lang w:val="en-US"/>
              </w:rPr>
              <w:t>, which shall contain</w:t>
            </w:r>
            <w:r w:rsidR="00F45150">
              <w:rPr>
                <w:rFonts w:eastAsia="MS Mincho"/>
                <w:lang w:val="en-US"/>
              </w:rPr>
              <w:t>:</w:t>
            </w:r>
            <w:r w:rsidR="002B3158">
              <w:rPr>
                <w:rFonts w:eastAsia="MS Mincho"/>
                <w:lang w:val="en-US"/>
              </w:rPr>
              <w:t xml:space="preserve"> </w:t>
            </w:r>
          </w:p>
          <w:p w14:paraId="2B40DA3F" w14:textId="77777777" w:rsidR="002B3158" w:rsidRPr="00B13CB9" w:rsidRDefault="00F45150"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ascii="Source Sans Pro" w:eastAsia="MS Mincho" w:hAnsi="Source Sans Pro" w:cs="SourceSansPro-Light"/>
                <w:color w:val="000000"/>
                <w:szCs w:val="24"/>
                <w:lang w:val="en-US"/>
              </w:rPr>
            </w:pPr>
            <w:r w:rsidRPr="003B6198">
              <w:rPr>
                <w:rFonts w:ascii="Source Sans Pro" w:eastAsia="MS Mincho" w:hAnsi="Source Sans Pro" w:cs="SourceSansPro-Light"/>
                <w:color w:val="000000"/>
                <w:lang w:val="en-US"/>
              </w:rPr>
              <w:t>t</w:t>
            </w:r>
            <w:r w:rsidR="002B3158" w:rsidRPr="003B6198">
              <w:rPr>
                <w:rFonts w:ascii="Source Sans Pro" w:eastAsia="MS Mincho" w:hAnsi="Source Sans Pro" w:cs="SourceSansPro-Light"/>
                <w:color w:val="000000"/>
                <w:lang w:val="en-US"/>
              </w:rPr>
              <w:t>he NPP calculation at the date of the interim calculation</w:t>
            </w:r>
          </w:p>
          <w:p w14:paraId="72017AED" w14:textId="1CEBFDDC" w:rsidR="002B3158" w:rsidRPr="00B13CB9" w:rsidRDefault="00F45150"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ascii="Source Sans Pro" w:eastAsia="MS Mincho" w:hAnsi="Source Sans Pro" w:cs="SourceSansPro-Light"/>
                <w:color w:val="000000"/>
                <w:szCs w:val="24"/>
                <w:lang w:val="en-US"/>
              </w:rPr>
            </w:pPr>
            <w:r w:rsidRPr="003B6198">
              <w:rPr>
                <w:rFonts w:ascii="Source Sans Pro" w:eastAsia="MS Mincho" w:hAnsi="Source Sans Pro" w:cs="SourceSansPro-Light"/>
                <w:color w:val="000000"/>
                <w:lang w:val="en-US"/>
              </w:rPr>
              <w:t>t</w:t>
            </w:r>
            <w:r w:rsidR="002B3158" w:rsidRPr="003B6198">
              <w:rPr>
                <w:rFonts w:ascii="Source Sans Pro" w:eastAsia="MS Mincho" w:hAnsi="Source Sans Pro" w:cs="SourceSansPro-Light"/>
                <w:color w:val="000000"/>
                <w:lang w:val="en-US"/>
              </w:rPr>
              <w:t>he value of outstanding  claims liabilities as at the valuation date</w:t>
            </w:r>
          </w:p>
          <w:p w14:paraId="3DD5C059" w14:textId="77777777" w:rsidR="002B3158" w:rsidRPr="00B13CB9" w:rsidRDefault="00F45150"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ascii="Source Sans Pro" w:eastAsia="MS Mincho" w:hAnsi="Source Sans Pro" w:cs="SourceSansPro-Light"/>
                <w:color w:val="000000"/>
                <w:szCs w:val="24"/>
                <w:lang w:val="en-US"/>
              </w:rPr>
            </w:pPr>
            <w:r w:rsidRPr="003B6198">
              <w:rPr>
                <w:rFonts w:ascii="Source Sans Pro" w:eastAsia="MS Mincho" w:hAnsi="Source Sans Pro" w:cs="SourceSansPro-Light"/>
                <w:color w:val="000000"/>
                <w:lang w:val="en-US"/>
              </w:rPr>
              <w:t>a</w:t>
            </w:r>
            <w:r w:rsidR="002B3158" w:rsidRPr="003B6198">
              <w:rPr>
                <w:rFonts w:ascii="Source Sans Pro" w:eastAsia="MS Mincho" w:hAnsi="Source Sans Pro" w:cs="SourceSansPro-Light"/>
                <w:color w:val="000000"/>
                <w:lang w:val="en-US"/>
              </w:rPr>
              <w:t>djustments from the valuation date  to the date of the interim calculation relating to additional likely incurred liabilities (as indicated by the actuary)</w:t>
            </w:r>
          </w:p>
          <w:p w14:paraId="6FD2361B" w14:textId="2476A4A9" w:rsidR="002B3158" w:rsidRPr="00B13CB9" w:rsidRDefault="00F45150"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ascii="Source Sans Pro" w:eastAsia="MS Mincho" w:hAnsi="Source Sans Pro" w:cs="SourceSansPro-Light"/>
                <w:color w:val="000000"/>
                <w:szCs w:val="24"/>
                <w:lang w:val="en-US"/>
              </w:rPr>
            </w:pPr>
            <w:r w:rsidRPr="003B6198">
              <w:rPr>
                <w:rFonts w:ascii="Source Sans Pro" w:eastAsia="MS Mincho" w:hAnsi="Source Sans Pro" w:cs="SourceSansPro-Light"/>
                <w:color w:val="000000"/>
                <w:lang w:val="en-US"/>
              </w:rPr>
              <w:t>a</w:t>
            </w:r>
            <w:r w:rsidR="002B3158" w:rsidRPr="003B6198">
              <w:rPr>
                <w:rFonts w:ascii="Source Sans Pro" w:eastAsia="MS Mincho" w:hAnsi="Source Sans Pro" w:cs="SourceSansPro-Light"/>
                <w:color w:val="000000"/>
                <w:lang w:val="en-US"/>
              </w:rPr>
              <w:t xml:space="preserve">djustments from the valuation date to the date of the interim calculation relating to claims costs </w:t>
            </w:r>
            <w:r w:rsidR="00710EE8">
              <w:rPr>
                <w:rFonts w:ascii="Source Sans Pro" w:eastAsia="MS Mincho" w:hAnsi="Source Sans Pro" w:cs="SourceSansPro-Light"/>
                <w:color w:val="000000"/>
                <w:lang w:val="en-US"/>
              </w:rPr>
              <w:t>settled</w:t>
            </w:r>
            <w:r w:rsidR="00B10084" w:rsidRPr="003B6198">
              <w:rPr>
                <w:rFonts w:ascii="Source Sans Pro" w:eastAsia="MS Mincho" w:hAnsi="Source Sans Pro" w:cs="SourceSansPro-Light"/>
                <w:color w:val="000000"/>
                <w:lang w:val="en-US"/>
              </w:rPr>
              <w:t xml:space="preserve">; and </w:t>
            </w:r>
            <w:r w:rsidRPr="003B6198">
              <w:rPr>
                <w:rFonts w:ascii="Source Sans Pro" w:eastAsia="MS Mincho" w:hAnsi="Source Sans Pro" w:cs="SourceSansPro-Light"/>
                <w:color w:val="000000"/>
                <w:lang w:val="en-US"/>
              </w:rPr>
              <w:t>o</w:t>
            </w:r>
            <w:r w:rsidR="002B3158" w:rsidRPr="003B6198">
              <w:rPr>
                <w:rFonts w:ascii="Source Sans Pro" w:eastAsia="MS Mincho" w:hAnsi="Source Sans Pro" w:cs="SourceSansPro-Light"/>
                <w:color w:val="000000"/>
                <w:lang w:val="en-US"/>
              </w:rPr>
              <w:t>ther specific adjustments ( e.g. recoveries)</w:t>
            </w:r>
          </w:p>
          <w:p w14:paraId="6E729B79" w14:textId="5E0041FC" w:rsidR="00784F54" w:rsidRPr="00491DB0" w:rsidRDefault="003C6312"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eastAsia="MS Mincho"/>
                <w:lang w:val="en-US"/>
              </w:rPr>
            </w:pPr>
            <w:proofErr w:type="gramStart"/>
            <w:r>
              <w:rPr>
                <w:rFonts w:ascii="Source Sans Pro" w:eastAsia="MS Mincho" w:hAnsi="Source Sans Pro" w:cs="SourceSansPro-Light"/>
                <w:color w:val="000000"/>
                <w:lang w:val="en-US"/>
              </w:rPr>
              <w:t>a</w:t>
            </w:r>
            <w:r w:rsidR="00784F54" w:rsidRPr="003B6198">
              <w:rPr>
                <w:rFonts w:ascii="Source Sans Pro" w:eastAsia="MS Mincho" w:hAnsi="Source Sans Pro" w:cs="SourceSansPro-Light"/>
                <w:color w:val="000000"/>
                <w:lang w:val="en-US"/>
              </w:rPr>
              <w:t>n</w:t>
            </w:r>
            <w:proofErr w:type="gramEnd"/>
            <w:r w:rsidR="00784F54" w:rsidRPr="003B6198">
              <w:rPr>
                <w:rFonts w:ascii="Source Sans Pro" w:eastAsia="MS Mincho" w:hAnsi="Source Sans Pro" w:cs="SourceSansPro-Light"/>
                <w:color w:val="000000"/>
                <w:lang w:val="en-US"/>
              </w:rPr>
              <w:t xml:space="preserve"> indicative value of the </w:t>
            </w:r>
            <w:r w:rsidR="00784F54" w:rsidRPr="00B13CB9">
              <w:rPr>
                <w:rFonts w:ascii="Source Sans Pro" w:eastAsia="MS Mincho" w:hAnsi="Source Sans Pro" w:cs="SourceSansPro-Light"/>
                <w:color w:val="000000"/>
                <w:lang w:val="en-US"/>
              </w:rPr>
              <w:t>financial guarantee</w:t>
            </w:r>
            <w:r w:rsidR="00F45150" w:rsidRPr="00B13CB9">
              <w:rPr>
                <w:rFonts w:ascii="Source Sans Pro" w:eastAsia="MS Mincho" w:hAnsi="Source Sans Pro" w:cs="SourceSansPro-Light"/>
                <w:color w:val="000000"/>
                <w:lang w:val="en-US"/>
              </w:rPr>
              <w:t>.</w:t>
            </w:r>
          </w:p>
        </w:tc>
      </w:tr>
      <w:tr w:rsidR="002B3158" w:rsidRPr="00847AC2" w14:paraId="63E7D4A7" w14:textId="77777777" w:rsidTr="00B13CB9">
        <w:trPr>
          <w:trHeight w:val="248"/>
        </w:trPr>
        <w:tc>
          <w:tcPr>
            <w:tcW w:w="814" w:type="pct"/>
            <w:shd w:val="clear" w:color="auto" w:fill="auto"/>
          </w:tcPr>
          <w:p w14:paraId="0B43E164" w14:textId="77777777" w:rsidR="002B3158" w:rsidRPr="00AF3736" w:rsidRDefault="002B3158" w:rsidP="0064485D">
            <w:pPr>
              <w:pStyle w:val="GuideStyle"/>
              <w:ind w:right="163"/>
              <w:rPr>
                <w:rFonts w:eastAsia="MS Mincho"/>
                <w:lang w:val="en-US"/>
              </w:rPr>
            </w:pPr>
          </w:p>
        </w:tc>
        <w:tc>
          <w:tcPr>
            <w:tcW w:w="4186" w:type="pct"/>
          </w:tcPr>
          <w:p w14:paraId="462A6815" w14:textId="77777777" w:rsidR="002B3158" w:rsidRDefault="002B3158" w:rsidP="0064485D">
            <w:pPr>
              <w:pStyle w:val="GuideStyle"/>
              <w:ind w:right="163"/>
              <w:rPr>
                <w:rFonts w:eastAsia="MS Mincho"/>
                <w:lang w:val="en-US"/>
              </w:rPr>
            </w:pPr>
          </w:p>
        </w:tc>
      </w:tr>
      <w:tr w:rsidR="002B3158" w:rsidRPr="00847AC2" w14:paraId="503F4717" w14:textId="77777777" w:rsidTr="00B13CB9">
        <w:trPr>
          <w:trHeight w:val="80"/>
        </w:trPr>
        <w:tc>
          <w:tcPr>
            <w:tcW w:w="814" w:type="pct"/>
            <w:shd w:val="clear" w:color="auto" w:fill="E3E87D" w:themeFill="accent3" w:themeFillTint="99"/>
          </w:tcPr>
          <w:p w14:paraId="4FD60181" w14:textId="77777777" w:rsidR="002B3158" w:rsidRPr="00AF3736" w:rsidRDefault="002B3158" w:rsidP="0064485D">
            <w:pPr>
              <w:pStyle w:val="GuideStyle"/>
              <w:ind w:right="163"/>
              <w:rPr>
                <w:rFonts w:eastAsia="MS Mincho"/>
                <w:lang w:val="en-US"/>
              </w:rPr>
            </w:pPr>
            <w:r>
              <w:rPr>
                <w:rFonts w:eastAsia="MS Mincho"/>
                <w:lang w:val="en-US"/>
              </w:rPr>
              <w:t>LTP Adjustments</w:t>
            </w:r>
          </w:p>
        </w:tc>
        <w:tc>
          <w:tcPr>
            <w:tcW w:w="4186" w:type="pct"/>
          </w:tcPr>
          <w:p w14:paraId="60048ED9" w14:textId="77777777" w:rsidR="002B3158" w:rsidRPr="00491DB0" w:rsidRDefault="002B3158" w:rsidP="0064485D">
            <w:pPr>
              <w:pStyle w:val="GuideStyle"/>
              <w:ind w:right="163"/>
              <w:rPr>
                <w:rFonts w:eastAsia="MS Mincho"/>
                <w:highlight w:val="yellow"/>
                <w:lang w:val="en-US"/>
              </w:rPr>
            </w:pPr>
            <w:r w:rsidRPr="00491DB0">
              <w:rPr>
                <w:rFonts w:eastAsia="MS Mincho"/>
                <w:lang w:val="en-US"/>
              </w:rPr>
              <w:t xml:space="preserve">The </w:t>
            </w:r>
            <w:r w:rsidRPr="001B21C3">
              <w:rPr>
                <w:rFonts w:eastAsia="MS Mincho"/>
                <w:lang w:val="en-US"/>
              </w:rPr>
              <w:t>value of the Liability Tr</w:t>
            </w:r>
            <w:r w:rsidR="00F45150">
              <w:rPr>
                <w:rFonts w:eastAsia="MS Mincho"/>
                <w:lang w:val="en-US"/>
              </w:rPr>
              <w:t>ansfer Payment will be adjusted by:</w:t>
            </w:r>
          </w:p>
          <w:p w14:paraId="29E904A2" w14:textId="0B27442C" w:rsidR="002B3158" w:rsidRPr="00B13CB9" w:rsidRDefault="00617239"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ascii="Source Sans Pro" w:eastAsia="MS Mincho" w:hAnsi="Source Sans Pro" w:cs="SourceSansPro-Light"/>
                <w:color w:val="000000"/>
                <w:szCs w:val="24"/>
                <w:lang w:val="en-US"/>
              </w:rPr>
            </w:pPr>
            <w:r>
              <w:rPr>
                <w:rFonts w:ascii="Source Sans Pro" w:eastAsia="MS Mincho" w:hAnsi="Source Sans Pro" w:cs="SourceSansPro-Light"/>
                <w:color w:val="000000"/>
                <w:szCs w:val="24"/>
                <w:lang w:val="en-US"/>
              </w:rPr>
              <w:t>a</w:t>
            </w:r>
            <w:r w:rsidR="002B3158" w:rsidRPr="003B6198">
              <w:rPr>
                <w:rFonts w:ascii="Source Sans Pro" w:eastAsia="MS Mincho" w:hAnsi="Source Sans Pro" w:cs="SourceSansPro-Light"/>
                <w:color w:val="000000"/>
                <w:lang w:val="en-US"/>
              </w:rPr>
              <w:t xml:space="preserve">dding </w:t>
            </w:r>
            <w:r w:rsidR="001B21C3" w:rsidRPr="003B6198">
              <w:rPr>
                <w:rFonts w:ascii="Source Sans Pro" w:eastAsia="MS Mincho" w:hAnsi="Source Sans Pro" w:cs="SourceSansPro-Light"/>
                <w:color w:val="000000"/>
                <w:lang w:val="en-US"/>
              </w:rPr>
              <w:t>likely</w:t>
            </w:r>
            <w:r w:rsidR="002B3158" w:rsidRPr="003B6198">
              <w:rPr>
                <w:rFonts w:ascii="Source Sans Pro" w:eastAsia="MS Mincho" w:hAnsi="Source Sans Pro" w:cs="SourceSansPro-Light"/>
                <w:color w:val="000000"/>
                <w:lang w:val="en-US"/>
              </w:rPr>
              <w:t xml:space="preserve"> liabilities incurred between the date of the data extract used for the purpose of the valuation of OCL and the date the employer commences registration as a </w:t>
            </w:r>
            <w:r w:rsidR="005C6092">
              <w:rPr>
                <w:rFonts w:ascii="Source Sans Pro" w:eastAsia="MS Mincho" w:hAnsi="Source Sans Pro" w:cs="SourceSansPro-Light"/>
                <w:color w:val="000000"/>
                <w:lang w:val="en-US"/>
              </w:rPr>
              <w:t>Self-insured employer</w:t>
            </w:r>
            <w:r w:rsidR="002B3158" w:rsidRPr="003B6198">
              <w:rPr>
                <w:rFonts w:ascii="Source Sans Pro" w:eastAsia="MS Mincho" w:hAnsi="Source Sans Pro" w:cs="SourceSansPro-Light"/>
                <w:color w:val="000000"/>
                <w:lang w:val="en-US"/>
              </w:rPr>
              <w:t xml:space="preserve"> (subject to approval)</w:t>
            </w:r>
          </w:p>
          <w:p w14:paraId="6B63809C" w14:textId="2C1AB490" w:rsidR="002B3158" w:rsidRPr="00B13CB9" w:rsidRDefault="00617239"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ascii="Source Sans Pro" w:eastAsia="MS Mincho" w:hAnsi="Source Sans Pro" w:cs="SourceSansPro-Light"/>
                <w:color w:val="000000"/>
                <w:szCs w:val="24"/>
                <w:lang w:val="en-US"/>
              </w:rPr>
            </w:pPr>
            <w:r>
              <w:rPr>
                <w:rFonts w:ascii="Source Sans Pro" w:eastAsia="MS Mincho" w:hAnsi="Source Sans Pro" w:cs="SourceSansPro-Light"/>
                <w:color w:val="000000"/>
                <w:szCs w:val="24"/>
                <w:lang w:val="en-US"/>
              </w:rPr>
              <w:t>d</w:t>
            </w:r>
            <w:r w:rsidR="002B3158" w:rsidRPr="003B6198">
              <w:rPr>
                <w:rFonts w:ascii="Source Sans Pro" w:eastAsia="MS Mincho" w:hAnsi="Source Sans Pro" w:cs="SourceSansPro-Light"/>
                <w:color w:val="000000"/>
                <w:lang w:val="en-US"/>
              </w:rPr>
              <w:t xml:space="preserve">educting payments made on all claims after the date of the data extract used for the purpose of the valuation of OCL and the cancellation of its non-self-insured registration(s) by ReturnToWorkSA </w:t>
            </w:r>
            <w:r w:rsidR="00AB772D" w:rsidRPr="003B6198">
              <w:rPr>
                <w:rFonts w:ascii="Source Sans Pro" w:eastAsia="MS Mincho" w:hAnsi="Source Sans Pro" w:cs="SourceSansPro-Light"/>
                <w:color w:val="000000"/>
                <w:lang w:val="en-US"/>
              </w:rPr>
              <w:t>(</w:t>
            </w:r>
            <w:r w:rsidR="002B3158" w:rsidRPr="003B6198">
              <w:rPr>
                <w:rFonts w:ascii="Source Sans Pro" w:eastAsia="MS Mincho" w:hAnsi="Source Sans Pro" w:cs="SourceSansPro-Light"/>
                <w:color w:val="000000"/>
                <w:lang w:val="en-US"/>
              </w:rPr>
              <w:t xml:space="preserve">which may be after the date the employer commences registration as a </w:t>
            </w:r>
            <w:r w:rsidR="005C6092">
              <w:rPr>
                <w:rFonts w:ascii="Source Sans Pro" w:eastAsia="MS Mincho" w:hAnsi="Source Sans Pro" w:cs="SourceSansPro-Light"/>
                <w:color w:val="000000"/>
                <w:lang w:val="en-US"/>
              </w:rPr>
              <w:t>Self-insured employer</w:t>
            </w:r>
            <w:r w:rsidR="00AB772D" w:rsidRPr="003B6198">
              <w:rPr>
                <w:rFonts w:ascii="Source Sans Pro" w:eastAsia="MS Mincho" w:hAnsi="Source Sans Pro" w:cs="SourceSansPro-Light"/>
                <w:color w:val="000000"/>
                <w:lang w:val="en-US"/>
              </w:rPr>
              <w:t>)</w:t>
            </w:r>
          </w:p>
          <w:p w14:paraId="6349BEA1" w14:textId="529E6B93" w:rsidR="002B3158" w:rsidRPr="00B13CB9" w:rsidRDefault="003C6312" w:rsidP="00B13CB9">
            <w:pPr>
              <w:pStyle w:val="ListParagraph"/>
              <w:widowControl w:val="0"/>
              <w:numPr>
                <w:ilvl w:val="0"/>
                <w:numId w:val="5"/>
              </w:numPr>
              <w:suppressAutoHyphens/>
              <w:autoSpaceDE w:val="0"/>
              <w:autoSpaceDN w:val="0"/>
              <w:adjustRightInd w:val="0"/>
              <w:spacing w:after="120"/>
              <w:ind w:left="286" w:right="163" w:hanging="286"/>
              <w:jc w:val="left"/>
              <w:textAlignment w:val="center"/>
              <w:rPr>
                <w:rFonts w:ascii="Source Sans Pro" w:eastAsia="MS Mincho" w:hAnsi="Source Sans Pro" w:cs="SourceSansPro-Light"/>
                <w:color w:val="000000"/>
                <w:szCs w:val="24"/>
                <w:lang w:val="en-US"/>
              </w:rPr>
            </w:pPr>
            <w:proofErr w:type="gramStart"/>
            <w:r>
              <w:rPr>
                <w:rFonts w:ascii="Source Sans Pro" w:eastAsia="MS Mincho" w:hAnsi="Source Sans Pro" w:cs="SourceSansPro-Light"/>
                <w:color w:val="000000"/>
                <w:lang w:val="en-US"/>
              </w:rPr>
              <w:t>t</w:t>
            </w:r>
            <w:r w:rsidR="002B3158" w:rsidRPr="003B6198">
              <w:rPr>
                <w:rFonts w:ascii="Source Sans Pro" w:eastAsia="MS Mincho" w:hAnsi="Source Sans Pro" w:cs="SourceSansPro-Light"/>
                <w:color w:val="000000"/>
                <w:lang w:val="en-US"/>
              </w:rPr>
              <w:t>he</w:t>
            </w:r>
            <w:proofErr w:type="gramEnd"/>
            <w:r w:rsidR="002B3158" w:rsidRPr="003B6198">
              <w:rPr>
                <w:rFonts w:ascii="Source Sans Pro" w:eastAsia="MS Mincho" w:hAnsi="Source Sans Pro" w:cs="SourceSansPro-Light"/>
                <w:color w:val="000000"/>
                <w:lang w:val="en-US"/>
              </w:rPr>
              <w:t xml:space="preserve"> value of any adjustment listed in Schedule 3 of the </w:t>
            </w:r>
            <w:r w:rsidR="00870233" w:rsidRPr="003B6198">
              <w:rPr>
                <w:rFonts w:ascii="Source Sans Pro" w:eastAsia="MS Mincho" w:hAnsi="Source Sans Pro" w:cs="SourceSansPro-Light"/>
                <w:color w:val="000000"/>
                <w:lang w:val="en-US"/>
              </w:rPr>
              <w:t>Self-insured Employer Transitional Claims Management Agreement (</w:t>
            </w:r>
            <w:r w:rsidR="002B3158" w:rsidRPr="003B6198">
              <w:rPr>
                <w:rFonts w:ascii="Source Sans Pro" w:eastAsia="MS Mincho" w:hAnsi="Source Sans Pro" w:cs="SourceSansPro-Light"/>
                <w:color w:val="000000"/>
                <w:lang w:val="en-US"/>
              </w:rPr>
              <w:t>SIET</w:t>
            </w:r>
            <w:r w:rsidR="006758E9" w:rsidRPr="003B6198">
              <w:rPr>
                <w:rFonts w:ascii="Source Sans Pro" w:eastAsia="MS Mincho" w:hAnsi="Source Sans Pro" w:cs="SourceSansPro-Light"/>
                <w:color w:val="000000"/>
                <w:lang w:val="en-US"/>
              </w:rPr>
              <w:t>C</w:t>
            </w:r>
            <w:r w:rsidR="002B3158" w:rsidRPr="003B6198">
              <w:rPr>
                <w:rFonts w:ascii="Source Sans Pro" w:eastAsia="MS Mincho" w:hAnsi="Source Sans Pro" w:cs="SourceSansPro-Light"/>
                <w:color w:val="000000"/>
                <w:lang w:val="en-US"/>
              </w:rPr>
              <w:t>MA</w:t>
            </w:r>
            <w:r w:rsidR="00870233" w:rsidRPr="003B6198">
              <w:rPr>
                <w:rFonts w:ascii="Source Sans Pro" w:eastAsia="MS Mincho" w:hAnsi="Source Sans Pro" w:cs="SourceSansPro-Light"/>
                <w:color w:val="000000"/>
                <w:lang w:val="en-US"/>
              </w:rPr>
              <w:t>)</w:t>
            </w:r>
            <w:r w:rsidR="002B3158" w:rsidRPr="003B6198">
              <w:rPr>
                <w:rFonts w:ascii="Source Sans Pro" w:eastAsia="MS Mincho" w:hAnsi="Source Sans Pro" w:cs="SourceSansPro-Light"/>
                <w:color w:val="000000"/>
                <w:lang w:val="en-US"/>
              </w:rPr>
              <w:t xml:space="preserve"> executed by the employer and ReturnToWorkSA</w:t>
            </w:r>
            <w:r w:rsidR="00710EE8">
              <w:rPr>
                <w:rFonts w:ascii="Source Sans Pro" w:eastAsia="MS Mincho" w:hAnsi="Source Sans Pro" w:cs="SourceSansPro-Light"/>
                <w:color w:val="000000"/>
                <w:lang w:val="en-US"/>
              </w:rPr>
              <w:t>,</w:t>
            </w:r>
            <w:r w:rsidR="00C41927" w:rsidRPr="003B6198">
              <w:rPr>
                <w:rFonts w:ascii="Source Sans Pro" w:eastAsia="MS Mincho" w:hAnsi="Source Sans Pro" w:cs="SourceSansPro-Light"/>
                <w:color w:val="000000"/>
                <w:lang w:val="en-US"/>
              </w:rPr>
              <w:t xml:space="preserve"> e.g. recoveries</w:t>
            </w:r>
            <w:r w:rsidR="002B3158" w:rsidRPr="003B6198">
              <w:rPr>
                <w:rFonts w:ascii="Source Sans Pro" w:eastAsia="MS Mincho" w:hAnsi="Source Sans Pro" w:cs="SourceSansPro-Light"/>
                <w:color w:val="000000"/>
                <w:lang w:val="en-US"/>
              </w:rPr>
              <w:t xml:space="preserve">. </w:t>
            </w:r>
          </w:p>
          <w:p w14:paraId="1F231E4D" w14:textId="77777777" w:rsidR="002B3158" w:rsidRDefault="002B3158" w:rsidP="0064485D">
            <w:pPr>
              <w:widowControl w:val="0"/>
              <w:suppressAutoHyphens/>
              <w:autoSpaceDE w:val="0"/>
              <w:autoSpaceDN w:val="0"/>
              <w:adjustRightInd w:val="0"/>
              <w:spacing w:after="120"/>
              <w:ind w:right="163"/>
              <w:textAlignment w:val="center"/>
              <w:rPr>
                <w:rFonts w:eastAsia="MS Mincho"/>
                <w:lang w:val="en-US"/>
              </w:rPr>
            </w:pPr>
            <w:r w:rsidRPr="00491DB0">
              <w:rPr>
                <w:rFonts w:ascii="Source Sans Pro" w:eastAsia="MS Mincho" w:hAnsi="Source Sans Pro"/>
                <w:lang w:val="en-US"/>
              </w:rPr>
              <w:t xml:space="preserve">An administration loading of no more than 8% will be applied (after adjustment) to the LTP. The administration component is subject to GST.  The OCL component of the payment is not subject to GST. </w:t>
            </w:r>
          </w:p>
          <w:p w14:paraId="214E3476" w14:textId="77777777" w:rsidR="002B3158" w:rsidRPr="00543E10" w:rsidRDefault="002B3158" w:rsidP="0064485D">
            <w:pPr>
              <w:widowControl w:val="0"/>
              <w:suppressAutoHyphens/>
              <w:autoSpaceDE w:val="0"/>
              <w:autoSpaceDN w:val="0"/>
              <w:adjustRightInd w:val="0"/>
              <w:spacing w:after="120"/>
              <w:ind w:right="163"/>
              <w:textAlignment w:val="center"/>
              <w:rPr>
                <w:rFonts w:eastAsia="MS Mincho"/>
                <w:lang w:val="en-US"/>
              </w:rPr>
            </w:pPr>
            <w:r>
              <w:rPr>
                <w:rFonts w:ascii="Source Sans Pro" w:eastAsia="MS Mincho" w:hAnsi="Source Sans Pro"/>
                <w:lang w:val="en-US"/>
              </w:rPr>
              <w:lastRenderedPageBreak/>
              <w:t>The LTP including the administration fee is subject to the NPP cap.</w:t>
            </w:r>
          </w:p>
        </w:tc>
      </w:tr>
      <w:tr w:rsidR="00F63A88" w:rsidRPr="00847AC2" w14:paraId="11E17D5A" w14:textId="77777777" w:rsidTr="00B13CB9">
        <w:trPr>
          <w:trHeight w:val="56"/>
        </w:trPr>
        <w:tc>
          <w:tcPr>
            <w:tcW w:w="814" w:type="pct"/>
            <w:shd w:val="clear" w:color="auto" w:fill="FFFFFF" w:themeFill="background1"/>
          </w:tcPr>
          <w:p w14:paraId="26972E59" w14:textId="77777777" w:rsidR="00F63A88" w:rsidRDefault="00F63A88" w:rsidP="0064485D">
            <w:pPr>
              <w:pStyle w:val="GuideStyle"/>
              <w:ind w:right="163"/>
              <w:rPr>
                <w:rFonts w:eastAsia="MS Mincho"/>
                <w:lang w:val="en-US"/>
              </w:rPr>
            </w:pPr>
          </w:p>
        </w:tc>
        <w:tc>
          <w:tcPr>
            <w:tcW w:w="4186" w:type="pct"/>
          </w:tcPr>
          <w:p w14:paraId="10D9E2E1" w14:textId="77777777" w:rsidR="00F63A88" w:rsidRPr="00491DB0" w:rsidRDefault="00F63A88" w:rsidP="0064485D">
            <w:pPr>
              <w:pStyle w:val="GuideStyle"/>
              <w:ind w:right="163"/>
              <w:rPr>
                <w:rFonts w:eastAsia="MS Mincho"/>
                <w:lang w:val="en-US"/>
              </w:rPr>
            </w:pPr>
          </w:p>
        </w:tc>
      </w:tr>
      <w:tr w:rsidR="00F63A88" w:rsidRPr="00847AC2" w14:paraId="2872DBDB" w14:textId="77777777" w:rsidTr="00B13CB9">
        <w:trPr>
          <w:trHeight w:val="1836"/>
        </w:trPr>
        <w:tc>
          <w:tcPr>
            <w:tcW w:w="814" w:type="pct"/>
            <w:shd w:val="clear" w:color="auto" w:fill="E3E87D" w:themeFill="accent3" w:themeFillTint="99"/>
          </w:tcPr>
          <w:p w14:paraId="12928E3C" w14:textId="25A553A8" w:rsidR="00F63A88" w:rsidRDefault="00F63A88" w:rsidP="0064485D">
            <w:pPr>
              <w:pStyle w:val="GuideStyle"/>
              <w:ind w:right="163"/>
              <w:rPr>
                <w:rFonts w:eastAsia="MS Mincho"/>
                <w:lang w:val="en-US"/>
              </w:rPr>
            </w:pPr>
            <w:r w:rsidRPr="00F63A88">
              <w:rPr>
                <w:rFonts w:eastAsia="MS Mincho"/>
                <w:lang w:val="en-US"/>
              </w:rPr>
              <w:t xml:space="preserve">Claim </w:t>
            </w:r>
            <w:r w:rsidR="0064485D">
              <w:rPr>
                <w:rFonts w:eastAsia="MS Mincho"/>
                <w:lang w:val="en-US"/>
              </w:rPr>
              <w:t>R</w:t>
            </w:r>
            <w:r w:rsidRPr="00F63A88">
              <w:rPr>
                <w:rFonts w:eastAsia="MS Mincho"/>
                <w:lang w:val="en-US"/>
              </w:rPr>
              <w:t>ecoveries</w:t>
            </w:r>
          </w:p>
        </w:tc>
        <w:tc>
          <w:tcPr>
            <w:tcW w:w="4186" w:type="pct"/>
          </w:tcPr>
          <w:p w14:paraId="786B752F" w14:textId="47C96BE7" w:rsidR="00BC002B" w:rsidRPr="00F63A88" w:rsidRDefault="00F63A88" w:rsidP="0064485D">
            <w:pPr>
              <w:pStyle w:val="GuideStyle"/>
              <w:ind w:right="163"/>
              <w:rPr>
                <w:rFonts w:eastAsia="MS Mincho"/>
                <w:lang w:val="en-US"/>
              </w:rPr>
            </w:pPr>
            <w:r w:rsidRPr="00F63A88">
              <w:rPr>
                <w:rFonts w:eastAsia="MS Mincho"/>
                <w:lang w:val="en-US"/>
              </w:rPr>
              <w:t xml:space="preserve">The value of a potential claim recovery </w:t>
            </w:r>
            <w:proofErr w:type="gramStart"/>
            <w:r w:rsidRPr="00F63A88">
              <w:rPr>
                <w:rFonts w:eastAsia="MS Mincho"/>
                <w:lang w:val="en-US"/>
              </w:rPr>
              <w:t>may be deducted</w:t>
            </w:r>
            <w:proofErr w:type="gramEnd"/>
            <w:r w:rsidRPr="00F63A88">
              <w:rPr>
                <w:rFonts w:eastAsia="MS Mincho"/>
                <w:lang w:val="en-US"/>
              </w:rPr>
              <w:t xml:space="preserve"> from the value of the liability transfer payment. The employer may claim the difference between amounts recovered that are less than the amount withheld from the liability transfer payment </w:t>
            </w:r>
            <w:r w:rsidR="00860434" w:rsidRPr="00F63A88">
              <w:rPr>
                <w:rFonts w:eastAsia="MS Mincho"/>
                <w:lang w:val="en-US"/>
              </w:rPr>
              <w:t>later</w:t>
            </w:r>
            <w:r w:rsidRPr="00F63A88">
              <w:rPr>
                <w:rFonts w:eastAsia="MS Mincho"/>
                <w:lang w:val="en-US"/>
              </w:rPr>
              <w:t>.</w:t>
            </w:r>
          </w:p>
          <w:p w14:paraId="65AFE862" w14:textId="32961AFA" w:rsidR="00F63A88" w:rsidRPr="00491DB0" w:rsidRDefault="00F63A88" w:rsidP="0064485D">
            <w:pPr>
              <w:pStyle w:val="GuideStyle"/>
              <w:ind w:right="163"/>
              <w:rPr>
                <w:rFonts w:eastAsia="MS Mincho"/>
                <w:lang w:val="en-US"/>
              </w:rPr>
            </w:pPr>
            <w:r w:rsidRPr="00F63A88">
              <w:rPr>
                <w:rFonts w:eastAsia="MS Mincho"/>
                <w:lang w:val="en-US"/>
              </w:rPr>
              <w:t xml:space="preserve">This methodology </w:t>
            </w:r>
            <w:proofErr w:type="gramStart"/>
            <w:r w:rsidRPr="00F63A88">
              <w:rPr>
                <w:rFonts w:eastAsia="MS Mincho"/>
                <w:lang w:val="en-US"/>
              </w:rPr>
              <w:t>is used</w:t>
            </w:r>
            <w:proofErr w:type="gramEnd"/>
            <w:r w:rsidRPr="00F63A88">
              <w:rPr>
                <w:rFonts w:eastAsia="MS Mincho"/>
                <w:lang w:val="en-US"/>
              </w:rPr>
              <w:t xml:space="preserve"> for all applicants for self-insurance and for existing </w:t>
            </w:r>
            <w:r w:rsidR="005C6092">
              <w:rPr>
                <w:rFonts w:eastAsia="MS Mincho"/>
                <w:lang w:val="en-US"/>
              </w:rPr>
              <w:t>Self-insured employer</w:t>
            </w:r>
            <w:r w:rsidRPr="00F63A88">
              <w:rPr>
                <w:rFonts w:eastAsia="MS Mincho"/>
                <w:lang w:val="en-US"/>
              </w:rPr>
              <w:t>s who are required to bring related bodies corporate into their self-</w:t>
            </w:r>
            <w:r w:rsidR="00AB772D">
              <w:rPr>
                <w:rFonts w:eastAsia="MS Mincho"/>
                <w:lang w:val="en-US"/>
              </w:rPr>
              <w:t>insurance</w:t>
            </w:r>
            <w:r w:rsidR="00BC002B">
              <w:rPr>
                <w:rFonts w:eastAsia="MS Mincho"/>
                <w:lang w:val="en-US"/>
              </w:rPr>
              <w:t xml:space="preserve"> registration</w:t>
            </w:r>
            <w:r w:rsidR="00AB772D">
              <w:rPr>
                <w:rFonts w:eastAsia="MS Mincho"/>
                <w:lang w:val="en-US"/>
              </w:rPr>
              <w:t xml:space="preserve"> under the Act and the</w:t>
            </w:r>
            <w:r w:rsidRPr="00F63A88">
              <w:rPr>
                <w:rFonts w:eastAsia="MS Mincho"/>
                <w:lang w:val="en-US"/>
              </w:rPr>
              <w:t xml:space="preserve"> Code.</w:t>
            </w:r>
          </w:p>
        </w:tc>
      </w:tr>
      <w:tr w:rsidR="002B3158" w:rsidRPr="00847AC2" w14:paraId="0A9E26FF" w14:textId="77777777" w:rsidTr="00B13CB9">
        <w:trPr>
          <w:trHeight w:val="530"/>
        </w:trPr>
        <w:tc>
          <w:tcPr>
            <w:tcW w:w="814" w:type="pct"/>
            <w:shd w:val="clear" w:color="auto" w:fill="auto"/>
          </w:tcPr>
          <w:p w14:paraId="59693BBF" w14:textId="77777777" w:rsidR="002B3158" w:rsidRDefault="002B3158" w:rsidP="0064485D">
            <w:pPr>
              <w:pStyle w:val="GuideStyle"/>
              <w:ind w:right="163"/>
              <w:rPr>
                <w:rFonts w:eastAsia="MS Mincho"/>
                <w:lang w:val="en-US"/>
              </w:rPr>
            </w:pPr>
          </w:p>
        </w:tc>
        <w:tc>
          <w:tcPr>
            <w:tcW w:w="4186" w:type="pct"/>
          </w:tcPr>
          <w:p w14:paraId="3525EA66" w14:textId="77777777" w:rsidR="002B3158" w:rsidRPr="00A3084E" w:rsidRDefault="002B3158" w:rsidP="0064485D">
            <w:pPr>
              <w:pStyle w:val="GuideStyle"/>
              <w:ind w:right="163"/>
              <w:rPr>
                <w:rFonts w:eastAsia="MS Mincho"/>
                <w:lang w:val="en-US"/>
              </w:rPr>
            </w:pPr>
          </w:p>
        </w:tc>
      </w:tr>
      <w:tr w:rsidR="002B3158" w:rsidRPr="00847AC2" w14:paraId="656FF09C" w14:textId="77777777" w:rsidTr="00B13CB9">
        <w:trPr>
          <w:trHeight w:val="2666"/>
        </w:trPr>
        <w:tc>
          <w:tcPr>
            <w:tcW w:w="814" w:type="pct"/>
            <w:shd w:val="clear" w:color="auto" w:fill="E3E87D" w:themeFill="accent3" w:themeFillTint="99"/>
          </w:tcPr>
          <w:p w14:paraId="704AB33D" w14:textId="77777777" w:rsidR="002B3158" w:rsidRDefault="002B3158" w:rsidP="0064485D">
            <w:pPr>
              <w:pStyle w:val="GuideStyle"/>
              <w:ind w:right="163"/>
              <w:rPr>
                <w:rFonts w:eastAsia="MS Mincho" w:cs="SourceSansPro-Light"/>
                <w:color w:val="000000"/>
                <w:szCs w:val="22"/>
                <w:lang w:val="en-US"/>
              </w:rPr>
            </w:pPr>
            <w:r w:rsidRPr="00B945B5">
              <w:rPr>
                <w:rFonts w:eastAsia="MS Mincho" w:cs="SourceSansPro-Light"/>
                <w:color w:val="000000"/>
                <w:szCs w:val="22"/>
                <w:lang w:val="en-US"/>
              </w:rPr>
              <w:t>Self-insured Employer Transitional C</w:t>
            </w:r>
            <w:r>
              <w:rPr>
                <w:rFonts w:eastAsia="MS Mincho" w:cs="SourceSansPro-Light"/>
                <w:color w:val="000000"/>
                <w:szCs w:val="22"/>
                <w:lang w:val="en-US"/>
              </w:rPr>
              <w:t>laims Management Agreement</w:t>
            </w:r>
          </w:p>
          <w:p w14:paraId="7CCB2A9C" w14:textId="77777777" w:rsidR="00AB772D" w:rsidRDefault="00AB772D" w:rsidP="0064485D">
            <w:pPr>
              <w:pStyle w:val="GuideStyle"/>
              <w:ind w:right="163"/>
              <w:rPr>
                <w:rFonts w:eastAsia="MS Mincho"/>
                <w:lang w:val="en-US"/>
              </w:rPr>
            </w:pPr>
            <w:r>
              <w:rPr>
                <w:rFonts w:eastAsia="MS Mincho" w:cs="SourceSansPro-Light"/>
                <w:color w:val="000000"/>
                <w:szCs w:val="22"/>
                <w:lang w:val="en-US"/>
              </w:rPr>
              <w:t>(SIETCMA)</w:t>
            </w:r>
          </w:p>
        </w:tc>
        <w:tc>
          <w:tcPr>
            <w:tcW w:w="4186" w:type="pct"/>
          </w:tcPr>
          <w:p w14:paraId="192EA1D4" w14:textId="6C15FF6E" w:rsidR="002B3158" w:rsidRDefault="002B3158" w:rsidP="0064485D">
            <w:pPr>
              <w:widowControl w:val="0"/>
              <w:suppressAutoHyphens/>
              <w:autoSpaceDE w:val="0"/>
              <w:autoSpaceDN w:val="0"/>
              <w:adjustRightInd w:val="0"/>
              <w:spacing w:after="120" w:line="276" w:lineRule="auto"/>
              <w:ind w:right="163"/>
              <w:textAlignment w:val="center"/>
              <w:rPr>
                <w:rFonts w:ascii="Source Sans Pro" w:eastAsia="MS Mincho" w:hAnsi="Source Sans Pro" w:cs="SourceSansPro-Light"/>
                <w:color w:val="000000"/>
                <w:szCs w:val="22"/>
                <w:lang w:val="en-US"/>
              </w:rPr>
            </w:pPr>
            <w:r>
              <w:rPr>
                <w:rFonts w:ascii="Source Sans Pro" w:eastAsia="MS Mincho" w:hAnsi="Source Sans Pro" w:cs="SourceSansPro-Light"/>
                <w:color w:val="000000"/>
                <w:szCs w:val="22"/>
                <w:lang w:val="en-US"/>
              </w:rPr>
              <w:t xml:space="preserve">Prior to consideration of an application for registration as a </w:t>
            </w:r>
            <w:r w:rsidR="005C6092">
              <w:rPr>
                <w:rFonts w:ascii="Source Sans Pro" w:eastAsia="MS Mincho" w:hAnsi="Source Sans Pro" w:cs="SourceSansPro-Light"/>
                <w:color w:val="000000"/>
                <w:szCs w:val="22"/>
                <w:lang w:val="en-US"/>
              </w:rPr>
              <w:t>Self-insured employer</w:t>
            </w:r>
            <w:r>
              <w:rPr>
                <w:rFonts w:ascii="Source Sans Pro" w:eastAsia="MS Mincho" w:hAnsi="Source Sans Pro" w:cs="SourceSansPro-Light"/>
                <w:color w:val="000000"/>
                <w:szCs w:val="22"/>
                <w:lang w:val="en-US"/>
              </w:rPr>
              <w:t xml:space="preserve">, the employer must agree </w:t>
            </w:r>
            <w:r w:rsidR="001B21C3">
              <w:rPr>
                <w:rFonts w:ascii="Source Sans Pro" w:eastAsia="MS Mincho" w:hAnsi="Source Sans Pro" w:cs="SourceSansPro-Light"/>
                <w:color w:val="000000"/>
                <w:szCs w:val="22"/>
                <w:lang w:val="en-US"/>
              </w:rPr>
              <w:t xml:space="preserve">in writing </w:t>
            </w:r>
            <w:r w:rsidR="00AB772D">
              <w:rPr>
                <w:rFonts w:ascii="Source Sans Pro" w:eastAsia="MS Mincho" w:hAnsi="Source Sans Pro" w:cs="SourceSansPro-Light"/>
                <w:color w:val="000000"/>
                <w:szCs w:val="22"/>
                <w:lang w:val="en-US"/>
              </w:rPr>
              <w:t xml:space="preserve">to the </w:t>
            </w:r>
            <w:r w:rsidR="00AB772D" w:rsidRPr="00AB772D">
              <w:rPr>
                <w:rFonts w:ascii="Source Sans Pro" w:eastAsia="MS Mincho" w:hAnsi="Source Sans Pro" w:cs="SourceSansPro-Light"/>
                <w:color w:val="000000"/>
                <w:szCs w:val="22"/>
                <w:lang w:val="en-US"/>
              </w:rPr>
              <w:t>terms and conditions of the liability transfer payment</w:t>
            </w:r>
            <w:r w:rsidR="00DD7AFE">
              <w:rPr>
                <w:rFonts w:ascii="Source Sans Pro" w:eastAsia="MS Mincho" w:hAnsi="Source Sans Pro" w:cs="SourceSansPro-Light"/>
                <w:color w:val="000000"/>
                <w:szCs w:val="22"/>
                <w:lang w:val="en-US"/>
              </w:rPr>
              <w:t>,</w:t>
            </w:r>
            <w:r w:rsidR="00AB772D" w:rsidRPr="00AB772D">
              <w:rPr>
                <w:rFonts w:ascii="Source Sans Pro" w:eastAsia="MS Mincho" w:hAnsi="Source Sans Pro" w:cs="SourceSansPro-Light"/>
                <w:color w:val="000000"/>
                <w:szCs w:val="22"/>
                <w:lang w:val="en-US"/>
              </w:rPr>
              <w:t xml:space="preserve"> contained within a </w:t>
            </w:r>
            <w:r w:rsidR="00C41927">
              <w:rPr>
                <w:rFonts w:ascii="Source Sans Pro" w:eastAsia="MS Mincho" w:hAnsi="Source Sans Pro" w:cs="SourceSansPro-Light"/>
                <w:color w:val="000000"/>
                <w:szCs w:val="22"/>
                <w:lang w:val="en-US"/>
              </w:rPr>
              <w:t>SIETCMA</w:t>
            </w:r>
            <w:r w:rsidR="00710EE8">
              <w:rPr>
                <w:rFonts w:ascii="Source Sans Pro" w:eastAsia="MS Mincho" w:hAnsi="Source Sans Pro" w:cs="SourceSansPro-Light"/>
                <w:color w:val="000000"/>
                <w:szCs w:val="22"/>
                <w:lang w:val="en-US"/>
              </w:rPr>
              <w:t>,</w:t>
            </w:r>
            <w:r w:rsidR="00C41927">
              <w:rPr>
                <w:rFonts w:ascii="Source Sans Pro" w:eastAsia="MS Mincho" w:hAnsi="Source Sans Pro" w:cs="SourceSansPro-Light"/>
                <w:color w:val="000000"/>
                <w:szCs w:val="22"/>
                <w:lang w:val="en-US"/>
              </w:rPr>
              <w:t xml:space="preserve"> and the:</w:t>
            </w:r>
          </w:p>
          <w:p w14:paraId="2D02FEEF" w14:textId="77777777" w:rsidR="002B3158" w:rsidRPr="007362EE" w:rsidRDefault="002B3158" w:rsidP="008A158D">
            <w:pPr>
              <w:pStyle w:val="ListParagraph"/>
              <w:widowControl w:val="0"/>
              <w:numPr>
                <w:ilvl w:val="0"/>
                <w:numId w:val="5"/>
              </w:numPr>
              <w:suppressAutoHyphens/>
              <w:autoSpaceDE w:val="0"/>
              <w:autoSpaceDN w:val="0"/>
              <w:adjustRightInd w:val="0"/>
              <w:spacing w:after="120"/>
              <w:ind w:left="286" w:right="163" w:hanging="284"/>
              <w:jc w:val="left"/>
              <w:textAlignment w:val="center"/>
              <w:rPr>
                <w:rFonts w:ascii="Source Sans Pro" w:eastAsia="MS Mincho" w:hAnsi="Source Sans Pro" w:cs="SourceSansPro-Light"/>
                <w:color w:val="000000"/>
                <w:lang w:val="en-US"/>
              </w:rPr>
            </w:pPr>
            <w:r w:rsidRPr="007362EE">
              <w:rPr>
                <w:rFonts w:ascii="Source Sans Pro" w:eastAsia="MS Mincho" w:hAnsi="Source Sans Pro" w:cs="SourceSansPro-Light"/>
                <w:color w:val="000000"/>
                <w:lang w:val="en-US"/>
              </w:rPr>
              <w:t xml:space="preserve">interim value of the liability transfer payment </w:t>
            </w:r>
          </w:p>
          <w:p w14:paraId="66FAE426" w14:textId="16CCF759" w:rsidR="002B3158" w:rsidRPr="007362EE" w:rsidRDefault="00860434" w:rsidP="008A158D">
            <w:pPr>
              <w:pStyle w:val="ListParagraph"/>
              <w:widowControl w:val="0"/>
              <w:numPr>
                <w:ilvl w:val="0"/>
                <w:numId w:val="5"/>
              </w:numPr>
              <w:suppressAutoHyphens/>
              <w:autoSpaceDE w:val="0"/>
              <w:autoSpaceDN w:val="0"/>
              <w:adjustRightInd w:val="0"/>
              <w:spacing w:after="120"/>
              <w:ind w:left="286" w:right="163" w:hanging="284"/>
              <w:jc w:val="left"/>
              <w:textAlignment w:val="center"/>
              <w:rPr>
                <w:rFonts w:ascii="Source Sans Pro" w:eastAsia="MS Mincho" w:hAnsi="Source Sans Pro" w:cs="SourceSansPro-Light"/>
                <w:color w:val="000000"/>
                <w:lang w:val="en-US"/>
              </w:rPr>
            </w:pPr>
            <w:r w:rsidRPr="007362EE">
              <w:rPr>
                <w:rFonts w:ascii="Source Sans Pro" w:eastAsia="MS Mincho" w:hAnsi="Source Sans Pro" w:cs="SourceSansPro-Light"/>
                <w:color w:val="000000"/>
                <w:lang w:val="en-US"/>
              </w:rPr>
              <w:t>Method</w:t>
            </w:r>
            <w:r w:rsidR="002B3158" w:rsidRPr="007362EE">
              <w:rPr>
                <w:rFonts w:ascii="Source Sans Pro" w:eastAsia="MS Mincho" w:hAnsi="Source Sans Pro" w:cs="SourceSansPro-Light"/>
                <w:color w:val="000000"/>
                <w:lang w:val="en-US"/>
              </w:rPr>
              <w:t xml:space="preserve"> for adjusting the liability transfer payment and Net Premium Position to the commencement date</w:t>
            </w:r>
            <w:r w:rsidR="00710EE8">
              <w:rPr>
                <w:rFonts w:ascii="Source Sans Pro" w:eastAsia="MS Mincho" w:hAnsi="Source Sans Pro" w:cs="SourceSansPro-Light"/>
                <w:color w:val="000000"/>
                <w:lang w:val="en-US"/>
              </w:rPr>
              <w:t xml:space="preserve"> of self-insurance</w:t>
            </w:r>
            <w:r w:rsidR="00C41927">
              <w:rPr>
                <w:rFonts w:ascii="Source Sans Pro" w:eastAsia="MS Mincho" w:hAnsi="Source Sans Pro" w:cs="SourceSansPro-Light"/>
                <w:color w:val="000000"/>
                <w:lang w:val="en-US"/>
              </w:rPr>
              <w:t>.</w:t>
            </w:r>
          </w:p>
          <w:p w14:paraId="420F7107" w14:textId="755ADC39" w:rsidR="002B3158" w:rsidRPr="00CC6E3B" w:rsidRDefault="00384ADA" w:rsidP="0064485D">
            <w:pPr>
              <w:widowControl w:val="0"/>
              <w:suppressAutoHyphens/>
              <w:autoSpaceDE w:val="0"/>
              <w:autoSpaceDN w:val="0"/>
              <w:adjustRightInd w:val="0"/>
              <w:spacing w:after="120" w:line="276" w:lineRule="auto"/>
              <w:ind w:right="163"/>
              <w:textAlignment w:val="center"/>
              <w:rPr>
                <w:rFonts w:ascii="Source Sans Pro" w:eastAsia="MS Mincho" w:hAnsi="Source Sans Pro" w:cs="SourceSansPro-Light"/>
                <w:color w:val="000000"/>
                <w:szCs w:val="22"/>
                <w:lang w:val="en-US"/>
              </w:rPr>
            </w:pPr>
            <w:r>
              <w:rPr>
                <w:rFonts w:ascii="Source Sans Pro" w:eastAsia="MS Mincho" w:hAnsi="Source Sans Pro" w:cs="SourceSansPro-Light"/>
                <w:color w:val="000000"/>
                <w:szCs w:val="22"/>
                <w:lang w:val="en-US"/>
              </w:rPr>
              <w:t>The Standard S</w:t>
            </w:r>
            <w:r w:rsidR="002B3158" w:rsidRPr="00B24D92">
              <w:rPr>
                <w:rFonts w:ascii="Source Sans Pro" w:eastAsia="MS Mincho" w:hAnsi="Source Sans Pro" w:cs="SourceSansPro-Light"/>
                <w:color w:val="000000"/>
                <w:szCs w:val="22"/>
                <w:lang w:val="en-US"/>
              </w:rPr>
              <w:t>IET</w:t>
            </w:r>
            <w:r>
              <w:rPr>
                <w:rFonts w:ascii="Source Sans Pro" w:eastAsia="MS Mincho" w:hAnsi="Source Sans Pro" w:cs="SourceSansPro-Light"/>
                <w:color w:val="000000"/>
                <w:szCs w:val="22"/>
                <w:lang w:val="en-US"/>
              </w:rPr>
              <w:t>C</w:t>
            </w:r>
            <w:r w:rsidR="002B3158" w:rsidRPr="00B24D92">
              <w:rPr>
                <w:rFonts w:ascii="Source Sans Pro" w:eastAsia="MS Mincho" w:hAnsi="Source Sans Pro" w:cs="SourceSansPro-Light"/>
                <w:color w:val="000000"/>
                <w:szCs w:val="22"/>
                <w:lang w:val="en-US"/>
              </w:rPr>
              <w:t>MA is available on request.</w:t>
            </w:r>
          </w:p>
        </w:tc>
      </w:tr>
    </w:tbl>
    <w:p w14:paraId="126E6D10" w14:textId="77777777" w:rsidR="00266F7C" w:rsidRDefault="00266F7C" w:rsidP="00905A2E">
      <w:pPr>
        <w:spacing w:line="240" w:lineRule="auto"/>
        <w:ind w:right="163"/>
        <w:jc w:val="left"/>
        <w:rPr>
          <w:rFonts w:ascii="Source Sans Pro" w:hAnsi="Source Sans Pro"/>
          <w:color w:val="C00000"/>
          <w:sz w:val="40"/>
          <w:szCs w:val="40"/>
          <w:highlight w:val="lightGray"/>
          <w:lang w:val="en-US"/>
        </w:rPr>
      </w:pPr>
      <w:r>
        <w:rPr>
          <w:rFonts w:ascii="Source Sans Pro" w:hAnsi="Source Sans Pro"/>
          <w:color w:val="C00000"/>
          <w:sz w:val="40"/>
          <w:szCs w:val="40"/>
          <w:highlight w:val="lightGray"/>
          <w:lang w:val="en-US"/>
        </w:rPr>
        <w:br w:type="page"/>
      </w:r>
    </w:p>
    <w:p w14:paraId="315AB0DE" w14:textId="77777777" w:rsidR="002B3158" w:rsidRPr="002B00BC" w:rsidRDefault="002B3158" w:rsidP="008A158D">
      <w:pPr>
        <w:pStyle w:val="Heading2"/>
        <w:ind w:left="567"/>
        <w:rPr>
          <w:lang w:val="en-US"/>
        </w:rPr>
      </w:pPr>
      <w:bookmarkStart w:id="5" w:name="_Toc29451796"/>
      <w:r w:rsidRPr="002B00BC">
        <w:rPr>
          <w:lang w:val="en-US"/>
        </w:rPr>
        <w:lastRenderedPageBreak/>
        <w:t>Liability Transfer Payment</w:t>
      </w:r>
      <w:r w:rsidR="00CC6E3B" w:rsidRPr="002B00BC">
        <w:rPr>
          <w:lang w:val="en-US"/>
        </w:rPr>
        <w:t xml:space="preserve"> – Ceasing self-insurance</w:t>
      </w:r>
      <w:bookmarkEnd w:id="5"/>
      <w:r w:rsidR="00CC6E3B" w:rsidRPr="002B00BC">
        <w:rPr>
          <w:lang w:val="en-US"/>
        </w:rPr>
        <w:t xml:space="preserve"> </w:t>
      </w:r>
    </w:p>
    <w:p w14:paraId="3EE21791" w14:textId="77777777" w:rsidR="0047435C" w:rsidRDefault="0047435C" w:rsidP="008A158D">
      <w:pPr>
        <w:widowControl w:val="0"/>
        <w:suppressAutoHyphens/>
        <w:autoSpaceDE w:val="0"/>
        <w:autoSpaceDN w:val="0"/>
        <w:adjustRightInd w:val="0"/>
        <w:spacing w:after="120" w:line="276" w:lineRule="auto"/>
        <w:ind w:left="567" w:right="163"/>
        <w:textAlignment w:val="center"/>
        <w:rPr>
          <w:rFonts w:ascii="Source Sans Pro" w:eastAsia="MS Mincho" w:hAnsi="Source Sans Pro" w:cs="SourceSansPro-Light"/>
          <w:color w:val="000000"/>
          <w:szCs w:val="22"/>
          <w:lang w:val="en-US"/>
        </w:rPr>
      </w:pPr>
    </w:p>
    <w:p w14:paraId="53A74F0D" w14:textId="28B01EF1" w:rsidR="00CC6E3B" w:rsidRDefault="00C41927" w:rsidP="008A158D">
      <w:pPr>
        <w:widowControl w:val="0"/>
        <w:suppressAutoHyphens/>
        <w:autoSpaceDE w:val="0"/>
        <w:autoSpaceDN w:val="0"/>
        <w:adjustRightInd w:val="0"/>
        <w:spacing w:after="120" w:line="276" w:lineRule="auto"/>
        <w:ind w:left="567" w:right="163"/>
        <w:textAlignment w:val="center"/>
        <w:rPr>
          <w:rFonts w:ascii="Source Sans Pro" w:eastAsia="MS Mincho" w:hAnsi="Source Sans Pro" w:cs="SourceSansPro-Light"/>
          <w:color w:val="000000"/>
          <w:szCs w:val="22"/>
          <w:lang w:val="en-US"/>
        </w:rPr>
      </w:pPr>
      <w:r>
        <w:rPr>
          <w:rFonts w:ascii="Source Sans Pro" w:eastAsia="MS Mincho" w:hAnsi="Source Sans Pro" w:cs="SourceSansPro-Light"/>
          <w:color w:val="000000"/>
          <w:szCs w:val="22"/>
          <w:lang w:val="en-US"/>
        </w:rPr>
        <w:t xml:space="preserve">ReturnToWorkSA may undertake the outstanding </w:t>
      </w:r>
      <w:r w:rsidR="005C6092">
        <w:rPr>
          <w:rFonts w:ascii="Source Sans Pro" w:eastAsia="MS Mincho" w:hAnsi="Source Sans Pro" w:cs="SourceSansPro-Light"/>
          <w:color w:val="000000"/>
          <w:szCs w:val="22"/>
          <w:lang w:val="en-US"/>
        </w:rPr>
        <w:t>claims liabilities of a former S</w:t>
      </w:r>
      <w:r>
        <w:rPr>
          <w:rFonts w:ascii="Source Sans Pro" w:eastAsia="MS Mincho" w:hAnsi="Source Sans Pro" w:cs="SourceSansPro-Light"/>
          <w:color w:val="000000"/>
          <w:szCs w:val="22"/>
          <w:lang w:val="en-US"/>
        </w:rPr>
        <w:t>elf-insured employer</w:t>
      </w:r>
      <w:r w:rsidR="00F61707">
        <w:rPr>
          <w:rFonts w:ascii="Source Sans Pro" w:eastAsia="MS Mincho" w:hAnsi="Source Sans Pro" w:cs="SourceSansPro-Light"/>
          <w:color w:val="000000"/>
          <w:szCs w:val="22"/>
          <w:lang w:val="en-US"/>
        </w:rPr>
        <w:t>.</w:t>
      </w:r>
    </w:p>
    <w:p w14:paraId="54909358" w14:textId="1842966E" w:rsidR="00F61707" w:rsidRDefault="00F61707" w:rsidP="008A158D">
      <w:pPr>
        <w:widowControl w:val="0"/>
        <w:suppressAutoHyphens/>
        <w:autoSpaceDE w:val="0"/>
        <w:autoSpaceDN w:val="0"/>
        <w:adjustRightInd w:val="0"/>
        <w:spacing w:after="120" w:line="276" w:lineRule="auto"/>
        <w:ind w:left="567" w:right="163"/>
        <w:textAlignment w:val="center"/>
        <w:rPr>
          <w:rFonts w:ascii="Source Sans Pro" w:eastAsia="MS Mincho" w:hAnsi="Source Sans Pro" w:cs="SourceSansPro-Light"/>
          <w:color w:val="000000"/>
          <w:szCs w:val="22"/>
          <w:lang w:val="en-US"/>
        </w:rPr>
      </w:pPr>
      <w:r>
        <w:rPr>
          <w:rFonts w:ascii="Source Sans Pro" w:eastAsia="MS Mincho" w:hAnsi="Source Sans Pro" w:cs="SourceSansPro-Light"/>
          <w:color w:val="000000"/>
          <w:szCs w:val="22"/>
          <w:lang w:val="en-US"/>
        </w:rPr>
        <w:t xml:space="preserve">In determining </w:t>
      </w:r>
      <w:r w:rsidR="00266F7C">
        <w:rPr>
          <w:rFonts w:ascii="Source Sans Pro" w:eastAsia="MS Mincho" w:hAnsi="Source Sans Pro" w:cs="SourceSansPro-Light"/>
          <w:color w:val="000000"/>
          <w:szCs w:val="22"/>
          <w:lang w:val="en-US"/>
        </w:rPr>
        <w:t xml:space="preserve">whether </w:t>
      </w:r>
      <w:r>
        <w:rPr>
          <w:rFonts w:ascii="Source Sans Pro" w:eastAsia="MS Mincho" w:hAnsi="Source Sans Pro" w:cs="SourceSansPro-Light"/>
          <w:color w:val="000000"/>
          <w:szCs w:val="22"/>
          <w:lang w:val="en-US"/>
        </w:rPr>
        <w:t xml:space="preserve">to undertake </w:t>
      </w:r>
      <w:r w:rsidR="00B10084">
        <w:rPr>
          <w:rFonts w:ascii="Source Sans Pro" w:eastAsia="MS Mincho" w:hAnsi="Source Sans Pro" w:cs="SourceSansPro-Light"/>
          <w:color w:val="000000"/>
          <w:szCs w:val="22"/>
          <w:lang w:val="en-US"/>
        </w:rPr>
        <w:t>the</w:t>
      </w:r>
      <w:r>
        <w:rPr>
          <w:rFonts w:ascii="Source Sans Pro" w:eastAsia="MS Mincho" w:hAnsi="Source Sans Pro" w:cs="SourceSansPro-Light"/>
          <w:color w:val="000000"/>
          <w:szCs w:val="22"/>
          <w:lang w:val="en-US"/>
        </w:rPr>
        <w:t xml:space="preserve"> outstanding claims liabilities</w:t>
      </w:r>
      <w:r w:rsidR="009D145D">
        <w:rPr>
          <w:rFonts w:ascii="Source Sans Pro" w:eastAsia="MS Mincho" w:hAnsi="Source Sans Pro" w:cs="SourceSansPro-Light"/>
          <w:color w:val="000000"/>
          <w:szCs w:val="22"/>
          <w:lang w:val="en-US"/>
        </w:rPr>
        <w:t xml:space="preserve">, ReturnToWorkSA will have regard to </w:t>
      </w:r>
      <w:r w:rsidR="006758E9">
        <w:rPr>
          <w:rFonts w:ascii="Source Sans Pro" w:eastAsia="MS Mincho" w:hAnsi="Source Sans Pro" w:cs="SourceSansPro-Light"/>
          <w:color w:val="000000"/>
          <w:szCs w:val="22"/>
          <w:lang w:val="en-US"/>
        </w:rPr>
        <w:t xml:space="preserve">the </w:t>
      </w:r>
      <w:r w:rsidR="009D145D">
        <w:rPr>
          <w:rFonts w:ascii="Source Sans Pro" w:eastAsia="MS Mincho" w:hAnsi="Source Sans Pro" w:cs="SourceSansPro-Light"/>
          <w:color w:val="000000"/>
          <w:szCs w:val="22"/>
          <w:lang w:val="en-US"/>
        </w:rPr>
        <w:t>solvency of the employer</w:t>
      </w:r>
      <w:r w:rsidR="005D5A00">
        <w:rPr>
          <w:rFonts w:ascii="Source Sans Pro" w:eastAsia="MS Mincho" w:hAnsi="Source Sans Pro" w:cs="SourceSansPro-Light"/>
          <w:color w:val="000000"/>
          <w:szCs w:val="22"/>
          <w:lang w:val="en-US"/>
        </w:rPr>
        <w:t>. This includes</w:t>
      </w:r>
      <w:r w:rsidR="009D145D">
        <w:rPr>
          <w:rFonts w:ascii="Source Sans Pro" w:eastAsia="MS Mincho" w:hAnsi="Source Sans Pro" w:cs="SourceSansPro-Light"/>
          <w:color w:val="000000"/>
          <w:szCs w:val="22"/>
          <w:lang w:val="en-US"/>
        </w:rPr>
        <w:t xml:space="preserve"> whether the employer has continued to carry on business in the state and continues to provide adequate provision for dealing with claims and meeting liabilities and responsibilities related to work injuries incurred during its period of registration as a </w:t>
      </w:r>
      <w:r w:rsidR="005C6092">
        <w:rPr>
          <w:rFonts w:ascii="Source Sans Pro" w:eastAsia="MS Mincho" w:hAnsi="Source Sans Pro" w:cs="SourceSansPro-Light"/>
          <w:color w:val="000000"/>
          <w:szCs w:val="22"/>
          <w:lang w:val="en-US"/>
        </w:rPr>
        <w:t>Self-insured employer</w:t>
      </w:r>
      <w:r w:rsidR="009D145D">
        <w:rPr>
          <w:rFonts w:ascii="Source Sans Pro" w:eastAsia="MS Mincho" w:hAnsi="Source Sans Pro" w:cs="SourceSansPro-Light"/>
          <w:color w:val="000000"/>
          <w:szCs w:val="22"/>
          <w:lang w:val="en-US"/>
        </w:rPr>
        <w:t>.</w:t>
      </w:r>
    </w:p>
    <w:p w14:paraId="497166D8" w14:textId="77777777" w:rsidR="00CC6E3B" w:rsidRPr="002B00BC" w:rsidRDefault="00CC6E3B" w:rsidP="008A158D">
      <w:pPr>
        <w:pStyle w:val="Heading4"/>
        <w:ind w:left="567"/>
        <w:rPr>
          <w:i w:val="0"/>
        </w:rPr>
      </w:pPr>
      <w:r w:rsidRPr="002B00BC">
        <w:rPr>
          <w:i w:val="0"/>
        </w:rPr>
        <w:t xml:space="preserve">Liability Transfer Payment – Ceasing self-insurance </w:t>
      </w:r>
    </w:p>
    <w:tbl>
      <w:tblPr>
        <w:tblStyle w:val="TableGridLight"/>
        <w:tblW w:w="4710"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8066"/>
      </w:tblGrid>
      <w:tr w:rsidR="00DE7A2A" w:rsidRPr="00847AC2" w14:paraId="48CAA616" w14:textId="77777777" w:rsidTr="00B13CB9">
        <w:trPr>
          <w:trHeight w:val="1572"/>
        </w:trPr>
        <w:tc>
          <w:tcPr>
            <w:tcW w:w="871" w:type="pct"/>
            <w:shd w:val="clear" w:color="auto" w:fill="E3E87D" w:themeFill="accent3" w:themeFillTint="99"/>
          </w:tcPr>
          <w:p w14:paraId="1E833813" w14:textId="2F4B508B" w:rsidR="00CC6E3B" w:rsidRPr="00847AC2" w:rsidRDefault="00266F7C" w:rsidP="00905A2E">
            <w:pPr>
              <w:pStyle w:val="Bullet1"/>
              <w:numPr>
                <w:ilvl w:val="0"/>
                <w:numId w:val="0"/>
              </w:numPr>
              <w:ind w:left="35" w:right="163"/>
              <w:jc w:val="both"/>
            </w:pPr>
            <w:r>
              <w:t>Run-Off</w:t>
            </w:r>
          </w:p>
        </w:tc>
        <w:tc>
          <w:tcPr>
            <w:tcW w:w="4129" w:type="pct"/>
          </w:tcPr>
          <w:p w14:paraId="2B0AEEF2" w14:textId="693E8D47" w:rsidR="00CC6E3B" w:rsidRDefault="00266F7C" w:rsidP="00905A2E">
            <w:pPr>
              <w:pStyle w:val="GuideStyle"/>
              <w:ind w:right="163"/>
              <w:rPr>
                <w:rFonts w:eastAsiaTheme="majorEastAsia"/>
              </w:rPr>
            </w:pPr>
            <w:r>
              <w:rPr>
                <w:rFonts w:eastAsiaTheme="majorEastAsia"/>
              </w:rPr>
              <w:t xml:space="preserve">A former </w:t>
            </w:r>
            <w:r w:rsidR="005C6092">
              <w:rPr>
                <w:rFonts w:eastAsiaTheme="majorEastAsia"/>
              </w:rPr>
              <w:t>Self-insured employer</w:t>
            </w:r>
            <w:r>
              <w:rPr>
                <w:rFonts w:eastAsiaTheme="majorEastAsia"/>
              </w:rPr>
              <w:t xml:space="preserve"> may seek approval from ReturnToWorkSA to run-off its outstanding claims liabilities. </w:t>
            </w:r>
          </w:p>
          <w:p w14:paraId="5D7D7CAC" w14:textId="01F8E7E7" w:rsidR="00266F7C" w:rsidRDefault="0070121E" w:rsidP="00905A2E">
            <w:pPr>
              <w:pStyle w:val="GuideStyle"/>
              <w:ind w:right="163"/>
              <w:rPr>
                <w:rFonts w:eastAsiaTheme="majorEastAsia"/>
              </w:rPr>
            </w:pPr>
            <w:r>
              <w:rPr>
                <w:rFonts w:eastAsiaTheme="majorEastAsia"/>
              </w:rPr>
              <w:t xml:space="preserve">During the run-off period, the employer retains responsibility for the liabilities relating to claims incurred </w:t>
            </w:r>
            <w:r w:rsidR="0065467D">
              <w:rPr>
                <w:rFonts w:eastAsiaTheme="majorEastAsia"/>
              </w:rPr>
              <w:t xml:space="preserve">prior to ceasing to be </w:t>
            </w:r>
            <w:r>
              <w:rPr>
                <w:rFonts w:eastAsiaTheme="majorEastAsia"/>
              </w:rPr>
              <w:t xml:space="preserve">registered as a </w:t>
            </w:r>
            <w:r w:rsidR="005C6092">
              <w:rPr>
                <w:rFonts w:eastAsiaTheme="majorEastAsia"/>
              </w:rPr>
              <w:t>Self-insured employer</w:t>
            </w:r>
            <w:r>
              <w:rPr>
                <w:rFonts w:eastAsiaTheme="majorEastAsia"/>
              </w:rPr>
              <w:t xml:space="preserve"> (including liabilities associated with IBNR/IBNER claims).</w:t>
            </w:r>
          </w:p>
          <w:p w14:paraId="3224CC9E" w14:textId="77777777" w:rsidR="0070121E" w:rsidRPr="00491DB0" w:rsidRDefault="0070121E" w:rsidP="00905A2E">
            <w:pPr>
              <w:pStyle w:val="GuideStyle"/>
              <w:ind w:right="163"/>
              <w:rPr>
                <w:rFonts w:eastAsiaTheme="majorEastAsia"/>
              </w:rPr>
            </w:pPr>
            <w:r>
              <w:rPr>
                <w:rFonts w:eastAsiaTheme="majorEastAsia"/>
              </w:rPr>
              <w:t>A run-off period is usually approved for a defined period of time and subject to terms and conditions.</w:t>
            </w:r>
          </w:p>
        </w:tc>
      </w:tr>
      <w:tr w:rsidR="0039374B" w:rsidRPr="00847AC2" w14:paraId="7644FB7E" w14:textId="77777777" w:rsidTr="00B13CB9">
        <w:trPr>
          <w:trHeight w:val="615"/>
        </w:trPr>
        <w:tc>
          <w:tcPr>
            <w:tcW w:w="871" w:type="pct"/>
          </w:tcPr>
          <w:p w14:paraId="215267EB" w14:textId="77777777" w:rsidR="00CC6E3B" w:rsidRPr="009E1679" w:rsidRDefault="00CC6E3B" w:rsidP="00905A2E">
            <w:pPr>
              <w:pStyle w:val="Bullet1"/>
              <w:numPr>
                <w:ilvl w:val="0"/>
                <w:numId w:val="0"/>
              </w:numPr>
              <w:ind w:left="35" w:right="163"/>
              <w:jc w:val="both"/>
            </w:pPr>
          </w:p>
        </w:tc>
        <w:tc>
          <w:tcPr>
            <w:tcW w:w="4129" w:type="pct"/>
          </w:tcPr>
          <w:p w14:paraId="7169789C" w14:textId="77777777" w:rsidR="00CC6E3B" w:rsidRPr="00847AC2" w:rsidRDefault="00CC6E3B" w:rsidP="00905A2E">
            <w:pPr>
              <w:pStyle w:val="Bodytext"/>
              <w:ind w:right="163"/>
              <w:jc w:val="both"/>
            </w:pPr>
          </w:p>
        </w:tc>
      </w:tr>
      <w:tr w:rsidR="00266F7C" w:rsidRPr="00847AC2" w14:paraId="57A219C8" w14:textId="77777777" w:rsidTr="00B13CB9">
        <w:trPr>
          <w:trHeight w:val="615"/>
        </w:trPr>
        <w:tc>
          <w:tcPr>
            <w:tcW w:w="871" w:type="pct"/>
            <w:shd w:val="clear" w:color="auto" w:fill="E3E87D" w:themeFill="accent3" w:themeFillTint="99"/>
          </w:tcPr>
          <w:p w14:paraId="4F7116AB" w14:textId="77777777" w:rsidR="00266F7C" w:rsidRPr="009E1679" w:rsidRDefault="0070121E" w:rsidP="00905A2E">
            <w:pPr>
              <w:pStyle w:val="Bullet1"/>
              <w:numPr>
                <w:ilvl w:val="0"/>
                <w:numId w:val="0"/>
              </w:numPr>
              <w:ind w:left="35" w:right="163"/>
              <w:jc w:val="both"/>
            </w:pPr>
            <w:r>
              <w:t>Extension of Delegation</w:t>
            </w:r>
          </w:p>
        </w:tc>
        <w:tc>
          <w:tcPr>
            <w:tcW w:w="4129" w:type="pct"/>
          </w:tcPr>
          <w:p w14:paraId="407F8EBD" w14:textId="5EE9429E" w:rsidR="00395AFA" w:rsidRPr="00395AFA" w:rsidRDefault="0070121E" w:rsidP="00905A2E">
            <w:pPr>
              <w:pStyle w:val="GuideStyle"/>
              <w:ind w:right="163"/>
              <w:rPr>
                <w:rFonts w:eastAsiaTheme="majorEastAsia"/>
              </w:rPr>
            </w:pPr>
            <w:r w:rsidRPr="00395AFA">
              <w:rPr>
                <w:rFonts w:eastAsiaTheme="majorEastAsia"/>
              </w:rPr>
              <w:t xml:space="preserve">An employer who has been approved to run-off </w:t>
            </w:r>
            <w:r w:rsidR="0064485D">
              <w:rPr>
                <w:rFonts w:eastAsiaTheme="majorEastAsia"/>
              </w:rPr>
              <w:t xml:space="preserve">its </w:t>
            </w:r>
            <w:r w:rsidR="00B10084">
              <w:rPr>
                <w:rFonts w:eastAsiaTheme="majorEastAsia"/>
              </w:rPr>
              <w:t>outstanding claims</w:t>
            </w:r>
            <w:r w:rsidR="00B10084" w:rsidRPr="00395AFA">
              <w:rPr>
                <w:rFonts w:eastAsiaTheme="majorEastAsia"/>
              </w:rPr>
              <w:t xml:space="preserve"> </w:t>
            </w:r>
            <w:r w:rsidRPr="00395AFA">
              <w:rPr>
                <w:rFonts w:eastAsiaTheme="majorEastAsia"/>
              </w:rPr>
              <w:t xml:space="preserve">liabilities </w:t>
            </w:r>
            <w:r w:rsidR="00AB772D">
              <w:rPr>
                <w:rFonts w:eastAsiaTheme="majorEastAsia"/>
              </w:rPr>
              <w:t>shall</w:t>
            </w:r>
            <w:r w:rsidRPr="00395AFA">
              <w:rPr>
                <w:rFonts w:eastAsiaTheme="majorEastAsia"/>
              </w:rPr>
              <w:t xml:space="preserve"> be provided with a written extension of delegation containing the terms and conditions</w:t>
            </w:r>
            <w:r w:rsidR="00395AFA" w:rsidRPr="00395AFA">
              <w:rPr>
                <w:rFonts w:eastAsiaTheme="majorEastAsia"/>
              </w:rPr>
              <w:t xml:space="preserve"> the employer must comply with during the run-off period.</w:t>
            </w:r>
          </w:p>
          <w:p w14:paraId="7893C2B9" w14:textId="457E0E72" w:rsidR="00745C0F" w:rsidRPr="00AB772D" w:rsidRDefault="00395AFA" w:rsidP="00B10084">
            <w:pPr>
              <w:pStyle w:val="GuideStyle"/>
              <w:ind w:right="163"/>
              <w:rPr>
                <w:rFonts w:eastAsiaTheme="majorEastAsia"/>
              </w:rPr>
            </w:pPr>
            <w:r w:rsidRPr="00395AFA">
              <w:rPr>
                <w:rFonts w:eastAsiaTheme="majorEastAsia"/>
              </w:rPr>
              <w:t xml:space="preserve">Terms &amp; conditions </w:t>
            </w:r>
            <w:r w:rsidR="00B10084">
              <w:rPr>
                <w:rFonts w:eastAsiaTheme="majorEastAsia"/>
              </w:rPr>
              <w:t>generally</w:t>
            </w:r>
            <w:r w:rsidRPr="00395AFA">
              <w:rPr>
                <w:rFonts w:eastAsiaTheme="majorEastAsia"/>
              </w:rPr>
              <w:t xml:space="preserve"> align with the requirements of registration as a </w:t>
            </w:r>
            <w:r w:rsidR="005C6092">
              <w:rPr>
                <w:rFonts w:eastAsiaTheme="majorEastAsia"/>
              </w:rPr>
              <w:t>Self-insured employer</w:t>
            </w:r>
            <w:r w:rsidRPr="00395AFA">
              <w:rPr>
                <w:rFonts w:eastAsiaTheme="majorEastAsia"/>
              </w:rPr>
              <w:t>, e.g. maintenance of resources to administer claims, provision of actuary reports, financial guarantees, EDI data provision etc.</w:t>
            </w:r>
          </w:p>
        </w:tc>
      </w:tr>
      <w:tr w:rsidR="00266F7C" w:rsidRPr="00847AC2" w14:paraId="16608933" w14:textId="77777777" w:rsidTr="00B13CB9">
        <w:trPr>
          <w:trHeight w:val="615"/>
        </w:trPr>
        <w:tc>
          <w:tcPr>
            <w:tcW w:w="871" w:type="pct"/>
          </w:tcPr>
          <w:p w14:paraId="00C40120" w14:textId="77777777" w:rsidR="00266F7C" w:rsidRPr="009E1679" w:rsidRDefault="00266F7C" w:rsidP="00905A2E">
            <w:pPr>
              <w:pStyle w:val="Bullet1"/>
              <w:numPr>
                <w:ilvl w:val="0"/>
                <w:numId w:val="0"/>
              </w:numPr>
              <w:ind w:left="35" w:right="163"/>
              <w:jc w:val="both"/>
            </w:pPr>
          </w:p>
        </w:tc>
        <w:tc>
          <w:tcPr>
            <w:tcW w:w="4129" w:type="pct"/>
          </w:tcPr>
          <w:p w14:paraId="7A6BD893" w14:textId="77777777" w:rsidR="00266F7C" w:rsidRPr="00847AC2" w:rsidRDefault="00266F7C" w:rsidP="00905A2E">
            <w:pPr>
              <w:pStyle w:val="Bodytext"/>
              <w:ind w:right="163"/>
              <w:jc w:val="both"/>
            </w:pPr>
          </w:p>
        </w:tc>
      </w:tr>
      <w:tr w:rsidR="00395AFA" w:rsidRPr="00847AC2" w14:paraId="50F417E6" w14:textId="77777777" w:rsidTr="00B13CB9">
        <w:trPr>
          <w:trHeight w:val="615"/>
        </w:trPr>
        <w:tc>
          <w:tcPr>
            <w:tcW w:w="871" w:type="pct"/>
            <w:shd w:val="clear" w:color="auto" w:fill="E3E87D" w:themeFill="accent3" w:themeFillTint="99"/>
          </w:tcPr>
          <w:p w14:paraId="107C2A0B" w14:textId="77777777" w:rsidR="00395AFA" w:rsidRPr="009E1679" w:rsidRDefault="00122601" w:rsidP="00905A2E">
            <w:pPr>
              <w:pStyle w:val="Bullet1"/>
              <w:numPr>
                <w:ilvl w:val="0"/>
                <w:numId w:val="0"/>
              </w:numPr>
              <w:ind w:left="35" w:right="163"/>
              <w:jc w:val="both"/>
            </w:pPr>
            <w:r>
              <w:t>Valuation of Outstanding Claims Liabilities</w:t>
            </w:r>
            <w:r w:rsidR="00395AFA">
              <w:t xml:space="preserve"> </w:t>
            </w:r>
          </w:p>
        </w:tc>
        <w:tc>
          <w:tcPr>
            <w:tcW w:w="4129" w:type="pct"/>
          </w:tcPr>
          <w:p w14:paraId="0665AA89" w14:textId="77777777" w:rsidR="00395AFA" w:rsidRDefault="00745C0F" w:rsidP="00905A2E">
            <w:pPr>
              <w:pStyle w:val="GuideStyle"/>
              <w:ind w:right="163"/>
              <w:rPr>
                <w:rFonts w:eastAsiaTheme="majorEastAsia"/>
              </w:rPr>
            </w:pPr>
            <w:r>
              <w:rPr>
                <w:rFonts w:eastAsiaTheme="majorEastAsia"/>
              </w:rPr>
              <w:t xml:space="preserve">The outstanding claims </w:t>
            </w:r>
            <w:r w:rsidR="000A71D9">
              <w:rPr>
                <w:rFonts w:eastAsiaTheme="majorEastAsia"/>
              </w:rPr>
              <w:t>liabilities of</w:t>
            </w:r>
            <w:r>
              <w:rPr>
                <w:rFonts w:eastAsiaTheme="majorEastAsia"/>
              </w:rPr>
              <w:t xml:space="preserve"> a</w:t>
            </w:r>
            <w:r w:rsidRPr="00745C0F">
              <w:rPr>
                <w:rFonts w:eastAsiaTheme="majorEastAsia"/>
              </w:rPr>
              <w:t>n employer who is not approved to run-off its self-insured outstanding claims liabilities, or has reached the end of its run-off period</w:t>
            </w:r>
            <w:r>
              <w:rPr>
                <w:rFonts w:eastAsiaTheme="majorEastAsia"/>
              </w:rPr>
              <w:t xml:space="preserve"> will be undertaken by ReturnToWorkSA.</w:t>
            </w:r>
          </w:p>
          <w:p w14:paraId="054C08A3" w14:textId="77777777" w:rsidR="00DE7A2A" w:rsidRPr="00122601" w:rsidRDefault="00745C0F" w:rsidP="00905A2E">
            <w:pPr>
              <w:pStyle w:val="GuideStyle"/>
              <w:ind w:right="163"/>
              <w:rPr>
                <w:rFonts w:eastAsiaTheme="majorEastAsia"/>
              </w:rPr>
            </w:pPr>
            <w:r>
              <w:rPr>
                <w:rFonts w:eastAsiaTheme="majorEastAsia"/>
              </w:rPr>
              <w:t>A</w:t>
            </w:r>
            <w:r w:rsidR="000A71D9">
              <w:rPr>
                <w:rFonts w:eastAsiaTheme="majorEastAsia"/>
              </w:rPr>
              <w:t xml:space="preserve">n actuary will be appointed or approved by ReturnToWorkSA to value the employer’s outstanding claims liabilities. </w:t>
            </w:r>
          </w:p>
        </w:tc>
      </w:tr>
      <w:tr w:rsidR="00395AFA" w:rsidRPr="00847AC2" w14:paraId="25224839" w14:textId="77777777" w:rsidTr="00B13CB9">
        <w:trPr>
          <w:trHeight w:val="615"/>
        </w:trPr>
        <w:tc>
          <w:tcPr>
            <w:tcW w:w="871" w:type="pct"/>
          </w:tcPr>
          <w:p w14:paraId="3F45C5B8" w14:textId="77777777" w:rsidR="00395AFA" w:rsidRPr="009E1679" w:rsidRDefault="00395AFA" w:rsidP="00905A2E">
            <w:pPr>
              <w:pStyle w:val="Bullet1"/>
              <w:numPr>
                <w:ilvl w:val="0"/>
                <w:numId w:val="0"/>
              </w:numPr>
              <w:ind w:left="35" w:right="163"/>
              <w:jc w:val="both"/>
            </w:pPr>
          </w:p>
        </w:tc>
        <w:tc>
          <w:tcPr>
            <w:tcW w:w="4129" w:type="pct"/>
          </w:tcPr>
          <w:p w14:paraId="72BF04A6" w14:textId="77777777" w:rsidR="00395AFA" w:rsidRPr="00847AC2" w:rsidRDefault="00395AFA" w:rsidP="00905A2E">
            <w:pPr>
              <w:pStyle w:val="Bodytext"/>
              <w:ind w:right="163"/>
              <w:jc w:val="both"/>
            </w:pPr>
          </w:p>
        </w:tc>
      </w:tr>
      <w:tr w:rsidR="00840C59" w:rsidRPr="00847AC2" w14:paraId="72677AC6" w14:textId="77777777" w:rsidTr="00B13CB9">
        <w:trPr>
          <w:trHeight w:val="615"/>
        </w:trPr>
        <w:tc>
          <w:tcPr>
            <w:tcW w:w="871" w:type="pct"/>
            <w:shd w:val="clear" w:color="auto" w:fill="E3E87D" w:themeFill="accent3" w:themeFillTint="99"/>
          </w:tcPr>
          <w:p w14:paraId="2F39662F" w14:textId="77777777" w:rsidR="00840C59" w:rsidRPr="009E1679" w:rsidRDefault="00840C59" w:rsidP="00905A2E">
            <w:pPr>
              <w:pStyle w:val="Bullet1"/>
              <w:numPr>
                <w:ilvl w:val="0"/>
                <w:numId w:val="0"/>
              </w:numPr>
              <w:ind w:left="35" w:right="163"/>
              <w:jc w:val="both"/>
            </w:pPr>
            <w:r>
              <w:t>Peer Review</w:t>
            </w:r>
          </w:p>
        </w:tc>
        <w:tc>
          <w:tcPr>
            <w:tcW w:w="4129" w:type="pct"/>
          </w:tcPr>
          <w:p w14:paraId="4811EABF" w14:textId="77777777" w:rsidR="00840C59" w:rsidRPr="00847AC2" w:rsidRDefault="00840C59" w:rsidP="00905A2E">
            <w:pPr>
              <w:pStyle w:val="GuideStyle"/>
              <w:ind w:right="163"/>
            </w:pPr>
            <w:r w:rsidRPr="00840C59">
              <w:t>ReturnToWorkSA may require a peer review of any actuary report. ReturnToWorkSA will be responsible for the cost incurred by its nominated peer review actuary.</w:t>
            </w:r>
          </w:p>
        </w:tc>
      </w:tr>
      <w:tr w:rsidR="00840C59" w:rsidRPr="00847AC2" w14:paraId="1F7C1285" w14:textId="77777777" w:rsidTr="00B13CB9">
        <w:trPr>
          <w:trHeight w:val="615"/>
        </w:trPr>
        <w:tc>
          <w:tcPr>
            <w:tcW w:w="871" w:type="pct"/>
          </w:tcPr>
          <w:p w14:paraId="06DDF286" w14:textId="77777777" w:rsidR="00840C59" w:rsidRPr="009E1679" w:rsidRDefault="00840C59" w:rsidP="00905A2E">
            <w:pPr>
              <w:pStyle w:val="Bullet1"/>
              <w:numPr>
                <w:ilvl w:val="0"/>
                <w:numId w:val="0"/>
              </w:numPr>
              <w:ind w:left="35" w:right="163"/>
              <w:jc w:val="both"/>
            </w:pPr>
          </w:p>
        </w:tc>
        <w:tc>
          <w:tcPr>
            <w:tcW w:w="4129" w:type="pct"/>
          </w:tcPr>
          <w:p w14:paraId="0BADA413" w14:textId="77777777" w:rsidR="00840C59" w:rsidRPr="00847AC2" w:rsidRDefault="00840C59" w:rsidP="00905A2E">
            <w:pPr>
              <w:pStyle w:val="Bodytext"/>
              <w:ind w:right="163"/>
              <w:jc w:val="both"/>
            </w:pPr>
          </w:p>
        </w:tc>
      </w:tr>
      <w:tr w:rsidR="00122601" w:rsidRPr="00847AC2" w14:paraId="501621A0" w14:textId="77777777" w:rsidTr="00B13CB9">
        <w:trPr>
          <w:trHeight w:val="615"/>
        </w:trPr>
        <w:tc>
          <w:tcPr>
            <w:tcW w:w="871" w:type="pct"/>
            <w:shd w:val="clear" w:color="auto" w:fill="E3E87D" w:themeFill="accent3" w:themeFillTint="99"/>
          </w:tcPr>
          <w:p w14:paraId="75DF32D5" w14:textId="77777777" w:rsidR="00122601" w:rsidRPr="009E1679" w:rsidRDefault="00122601" w:rsidP="00905A2E">
            <w:pPr>
              <w:pStyle w:val="Bullet1"/>
              <w:numPr>
                <w:ilvl w:val="0"/>
                <w:numId w:val="0"/>
              </w:numPr>
              <w:ind w:left="35" w:right="163"/>
              <w:jc w:val="both"/>
            </w:pPr>
            <w:r>
              <w:lastRenderedPageBreak/>
              <w:t>Calculating the Liability Transfer Payment</w:t>
            </w:r>
          </w:p>
        </w:tc>
        <w:tc>
          <w:tcPr>
            <w:tcW w:w="4129" w:type="pct"/>
          </w:tcPr>
          <w:p w14:paraId="0EAE1044" w14:textId="77777777" w:rsidR="00FF6938" w:rsidRDefault="00DE7A2A" w:rsidP="00905A2E">
            <w:pPr>
              <w:pStyle w:val="GuideStyle"/>
              <w:ind w:right="163"/>
            </w:pPr>
            <w:r>
              <w:t>The employer will be provided with</w:t>
            </w:r>
            <w:r w:rsidR="00FF6938">
              <w:t xml:space="preserve"> an interim</w:t>
            </w:r>
            <w:r>
              <w:t xml:space="preserve"> calculation of the liability </w:t>
            </w:r>
            <w:r w:rsidR="00FF6938">
              <w:t>transfer payment, inclusive of the 1.5 times scaling factor applied to the value of the outstanding claims liabilities.</w:t>
            </w:r>
          </w:p>
          <w:p w14:paraId="46B2AFFC" w14:textId="77777777" w:rsidR="00DE7A2A" w:rsidRPr="00847AC2" w:rsidRDefault="00DE7A2A" w:rsidP="00905A2E">
            <w:pPr>
              <w:pStyle w:val="GuideStyle"/>
              <w:ind w:right="163"/>
            </w:pPr>
            <w:r>
              <w:t xml:space="preserve">The employer will be required to confirm in writing its </w:t>
            </w:r>
            <w:r w:rsidRPr="00DE7A2A">
              <w:t xml:space="preserve">acceptance or otherwise of the </w:t>
            </w:r>
            <w:r>
              <w:t>liability transfer payment calculation.</w:t>
            </w:r>
          </w:p>
        </w:tc>
      </w:tr>
      <w:tr w:rsidR="00122601" w:rsidRPr="00847AC2" w14:paraId="3848CD97" w14:textId="77777777" w:rsidTr="00B13CB9">
        <w:trPr>
          <w:trHeight w:val="615"/>
        </w:trPr>
        <w:tc>
          <w:tcPr>
            <w:tcW w:w="871" w:type="pct"/>
          </w:tcPr>
          <w:p w14:paraId="7C14D11C" w14:textId="77777777" w:rsidR="00122601" w:rsidRPr="009E1679" w:rsidRDefault="00122601" w:rsidP="00905A2E">
            <w:pPr>
              <w:pStyle w:val="Bullet1"/>
              <w:numPr>
                <w:ilvl w:val="0"/>
                <w:numId w:val="0"/>
              </w:numPr>
              <w:ind w:left="35" w:right="163"/>
              <w:jc w:val="both"/>
            </w:pPr>
          </w:p>
        </w:tc>
        <w:tc>
          <w:tcPr>
            <w:tcW w:w="4129" w:type="pct"/>
          </w:tcPr>
          <w:p w14:paraId="45A72525" w14:textId="77777777" w:rsidR="00122601" w:rsidRPr="00847AC2" w:rsidRDefault="00122601" w:rsidP="00905A2E">
            <w:pPr>
              <w:pStyle w:val="Bodytext"/>
              <w:ind w:right="163"/>
              <w:jc w:val="both"/>
            </w:pPr>
          </w:p>
        </w:tc>
      </w:tr>
      <w:tr w:rsidR="000A71D9" w:rsidRPr="00847AC2" w14:paraId="0E20A0AE" w14:textId="77777777" w:rsidTr="00B13CB9">
        <w:trPr>
          <w:trHeight w:val="615"/>
        </w:trPr>
        <w:tc>
          <w:tcPr>
            <w:tcW w:w="871" w:type="pct"/>
            <w:shd w:val="clear" w:color="auto" w:fill="E3E87D" w:themeFill="accent3" w:themeFillTint="99"/>
          </w:tcPr>
          <w:p w14:paraId="5C03E8D4" w14:textId="5C15D4E6" w:rsidR="000A71D9" w:rsidRPr="009E1679" w:rsidRDefault="00DE7A2A">
            <w:pPr>
              <w:pStyle w:val="Bullet1"/>
              <w:numPr>
                <w:ilvl w:val="0"/>
                <w:numId w:val="0"/>
              </w:numPr>
              <w:ind w:left="35" w:right="163"/>
            </w:pPr>
            <w:r>
              <w:t>Acknowledge Liability Transfer</w:t>
            </w:r>
          </w:p>
        </w:tc>
        <w:tc>
          <w:tcPr>
            <w:tcW w:w="4129" w:type="pct"/>
          </w:tcPr>
          <w:p w14:paraId="1D07F817" w14:textId="560CE698" w:rsidR="000A71D9" w:rsidRDefault="00FF6938" w:rsidP="00905A2E">
            <w:pPr>
              <w:pStyle w:val="GuideStyle"/>
              <w:ind w:right="163"/>
            </w:pPr>
            <w:r>
              <w:t xml:space="preserve">On approval of the liability transfer payment by the delegated authority at ReturnToWorkSA, the employer will be issued with a tax </w:t>
            </w:r>
            <w:r w:rsidR="00594EDA">
              <w:t>invoice</w:t>
            </w:r>
            <w:r w:rsidR="00840C59">
              <w:t>.</w:t>
            </w:r>
          </w:p>
          <w:p w14:paraId="55C5537C" w14:textId="08E8E537" w:rsidR="00840C59" w:rsidRPr="00847AC2" w:rsidRDefault="00840C59" w:rsidP="0065467D">
            <w:pPr>
              <w:pStyle w:val="GuideStyle"/>
              <w:ind w:right="163"/>
            </w:pPr>
            <w:r>
              <w:t xml:space="preserve">On payment, the employer will be </w:t>
            </w:r>
            <w:r w:rsidR="0039374B">
              <w:t xml:space="preserve">provided a written acknowledgement confirming the transition of all outstanding claims liabilities associated with claims incurred </w:t>
            </w:r>
            <w:r w:rsidR="0065467D">
              <w:t xml:space="preserve">prior to ceasing to be </w:t>
            </w:r>
            <w:r w:rsidR="0039374B">
              <w:t xml:space="preserve">registered as a </w:t>
            </w:r>
            <w:r w:rsidR="005C6092">
              <w:t>Self-insured employer</w:t>
            </w:r>
            <w:r w:rsidR="0065467D">
              <w:t>,</w:t>
            </w:r>
            <w:r w:rsidR="0039374B">
              <w:t xml:space="preserve"> to ReturnToWorkSA.</w:t>
            </w:r>
          </w:p>
        </w:tc>
      </w:tr>
      <w:tr w:rsidR="0039374B" w:rsidRPr="00847AC2" w14:paraId="1AEF9E3C" w14:textId="77777777" w:rsidTr="00B13CB9">
        <w:trPr>
          <w:trHeight w:val="615"/>
        </w:trPr>
        <w:tc>
          <w:tcPr>
            <w:tcW w:w="871" w:type="pct"/>
            <w:shd w:val="clear" w:color="auto" w:fill="auto"/>
          </w:tcPr>
          <w:p w14:paraId="14C0E484" w14:textId="77777777" w:rsidR="0039374B" w:rsidRDefault="0039374B" w:rsidP="00905A2E">
            <w:pPr>
              <w:pStyle w:val="Bullet1"/>
              <w:numPr>
                <w:ilvl w:val="0"/>
                <w:numId w:val="0"/>
              </w:numPr>
              <w:ind w:left="35" w:right="163"/>
            </w:pPr>
          </w:p>
        </w:tc>
        <w:tc>
          <w:tcPr>
            <w:tcW w:w="4129" w:type="pct"/>
          </w:tcPr>
          <w:p w14:paraId="470B635C" w14:textId="77777777" w:rsidR="0039374B" w:rsidRDefault="0039374B" w:rsidP="00905A2E">
            <w:pPr>
              <w:pStyle w:val="GuideStyle"/>
              <w:ind w:right="163"/>
            </w:pPr>
          </w:p>
        </w:tc>
      </w:tr>
      <w:tr w:rsidR="0039374B" w:rsidRPr="00847AC2" w14:paraId="056531CF" w14:textId="77777777" w:rsidTr="00B13CB9">
        <w:trPr>
          <w:trHeight w:val="615"/>
        </w:trPr>
        <w:tc>
          <w:tcPr>
            <w:tcW w:w="871" w:type="pct"/>
            <w:shd w:val="clear" w:color="auto" w:fill="E3E87D" w:themeFill="accent3" w:themeFillTint="99"/>
          </w:tcPr>
          <w:p w14:paraId="75962728" w14:textId="77777777" w:rsidR="0039374B" w:rsidRDefault="0039374B" w:rsidP="00905A2E">
            <w:pPr>
              <w:pStyle w:val="Bullet1"/>
              <w:numPr>
                <w:ilvl w:val="0"/>
                <w:numId w:val="0"/>
              </w:numPr>
              <w:ind w:left="35" w:right="163"/>
            </w:pPr>
            <w:r>
              <w:t>Financial Guarantee</w:t>
            </w:r>
          </w:p>
        </w:tc>
        <w:tc>
          <w:tcPr>
            <w:tcW w:w="4129" w:type="pct"/>
          </w:tcPr>
          <w:p w14:paraId="1C690EB0" w14:textId="6A704DD7" w:rsidR="0039374B" w:rsidRDefault="0039374B" w:rsidP="00905A2E">
            <w:pPr>
              <w:pStyle w:val="GuideStyle"/>
              <w:ind w:right="163"/>
            </w:pPr>
            <w:r>
              <w:t xml:space="preserve">ReturnToWorkSA will retain the </w:t>
            </w:r>
            <w:r w:rsidR="00A00304">
              <w:t>employer’s</w:t>
            </w:r>
            <w:r>
              <w:t xml:space="preserve"> financial guarantee</w:t>
            </w:r>
            <w:r w:rsidR="00F1116C">
              <w:t xml:space="preserve"> until the liability transfer payment </w:t>
            </w:r>
            <w:r w:rsidR="0065467D">
              <w:t xml:space="preserve">has been received </w:t>
            </w:r>
            <w:r w:rsidR="00F1116C">
              <w:t>and relevant claim files have been returned.</w:t>
            </w:r>
          </w:p>
        </w:tc>
      </w:tr>
    </w:tbl>
    <w:p w14:paraId="16348AB3" w14:textId="77777777" w:rsidR="002B3158" w:rsidRDefault="002B3158" w:rsidP="00905A2E">
      <w:pPr>
        <w:widowControl w:val="0"/>
        <w:suppressAutoHyphens/>
        <w:autoSpaceDE w:val="0"/>
        <w:autoSpaceDN w:val="0"/>
        <w:adjustRightInd w:val="0"/>
        <w:spacing w:after="120"/>
        <w:ind w:right="163"/>
        <w:textAlignment w:val="center"/>
        <w:rPr>
          <w:rFonts w:ascii="Source Sans Pro" w:eastAsia="MS Mincho" w:hAnsi="Source Sans Pro" w:cs="SourceSansPro-Light"/>
          <w:color w:val="000000"/>
          <w:lang w:val="en-US"/>
        </w:rPr>
      </w:pPr>
    </w:p>
    <w:p w14:paraId="78B9A6DA" w14:textId="77777777" w:rsidR="002B3158" w:rsidRDefault="002B3158" w:rsidP="00905A2E">
      <w:pPr>
        <w:widowControl w:val="0"/>
        <w:suppressAutoHyphens/>
        <w:autoSpaceDE w:val="0"/>
        <w:autoSpaceDN w:val="0"/>
        <w:adjustRightInd w:val="0"/>
        <w:spacing w:after="120"/>
        <w:ind w:right="163"/>
        <w:textAlignment w:val="center"/>
        <w:rPr>
          <w:rFonts w:ascii="Source Sans Pro" w:eastAsia="MS Mincho" w:hAnsi="Source Sans Pro" w:cs="SourceSansPro-Light"/>
          <w:color w:val="000000"/>
          <w:lang w:val="en-US"/>
        </w:rPr>
      </w:pPr>
    </w:p>
    <w:p w14:paraId="0542F162" w14:textId="77777777" w:rsidR="00940497" w:rsidRDefault="00940497" w:rsidP="00905A2E">
      <w:pPr>
        <w:widowControl w:val="0"/>
        <w:suppressAutoHyphens/>
        <w:autoSpaceDE w:val="0"/>
        <w:autoSpaceDN w:val="0"/>
        <w:adjustRightInd w:val="0"/>
        <w:spacing w:after="120" w:line="276" w:lineRule="auto"/>
        <w:ind w:right="163"/>
        <w:textAlignment w:val="center"/>
        <w:rPr>
          <w:rFonts w:ascii="Source Sans Pro" w:eastAsia="MS Mincho" w:hAnsi="Source Sans Pro" w:cs="SourceSansPro-Light"/>
          <w:color w:val="000000"/>
          <w:sz w:val="21"/>
          <w:szCs w:val="21"/>
          <w:lang w:val="en-US"/>
        </w:rPr>
        <w:sectPr w:rsidR="00940497" w:rsidSect="00940497">
          <w:headerReference w:type="first" r:id="rId23"/>
          <w:type w:val="continuous"/>
          <w:pgSz w:w="11900" w:h="16840"/>
          <w:pgMar w:top="794" w:right="737" w:bottom="737" w:left="0" w:header="0" w:footer="0" w:gutter="794"/>
          <w:cols w:space="674"/>
          <w:titlePg/>
          <w:docGrid w:linePitch="360"/>
        </w:sectPr>
      </w:pPr>
    </w:p>
    <w:p w14:paraId="7432FD90" w14:textId="77777777" w:rsidR="00940497" w:rsidRDefault="00940497" w:rsidP="00905A2E">
      <w:pPr>
        <w:widowControl w:val="0"/>
        <w:suppressAutoHyphens/>
        <w:autoSpaceDE w:val="0"/>
        <w:autoSpaceDN w:val="0"/>
        <w:adjustRightInd w:val="0"/>
        <w:spacing w:after="120" w:line="276" w:lineRule="auto"/>
        <w:ind w:right="163"/>
        <w:textAlignment w:val="center"/>
        <w:rPr>
          <w:rFonts w:ascii="Source Sans Pro" w:eastAsia="MS Mincho" w:hAnsi="Source Sans Pro" w:cs="SourceSansPro-Light"/>
          <w:color w:val="000000"/>
          <w:sz w:val="21"/>
          <w:szCs w:val="21"/>
          <w:lang w:val="en-US"/>
        </w:rPr>
      </w:pPr>
    </w:p>
    <w:p w14:paraId="63886CF5" w14:textId="7DF4E890" w:rsidR="00C71A69" w:rsidRDefault="00940497">
      <w:pPr>
        <w:pStyle w:val="Heading2"/>
        <w:rPr>
          <w:lang w:val="en-US"/>
        </w:rPr>
      </w:pPr>
      <w:bookmarkStart w:id="6" w:name="Example_Calculation"/>
      <w:bookmarkStart w:id="7" w:name="_Toc29451797"/>
      <w:r w:rsidRPr="002B00BC">
        <w:rPr>
          <w:lang w:val="en-US"/>
        </w:rPr>
        <w:t>Example Calculations</w:t>
      </w:r>
      <w:bookmarkEnd w:id="6"/>
      <w:bookmarkEnd w:id="7"/>
    </w:p>
    <w:p w14:paraId="378AEAE7" w14:textId="7E02BA95" w:rsidR="00157038" w:rsidRPr="00157038" w:rsidRDefault="00157038" w:rsidP="00157038">
      <w:pPr>
        <w:rPr>
          <w:lang w:val="en-US"/>
        </w:rPr>
      </w:pPr>
      <w:r>
        <w:rPr>
          <w:noProof/>
          <w:lang w:eastAsia="en-AU"/>
        </w:rPr>
        <w:drawing>
          <wp:inline distT="0" distB="0" distL="0" distR="0" wp14:anchorId="49BCD21A" wp14:editId="4701B7AB">
            <wp:extent cx="6127115" cy="602043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7115" cy="6020435"/>
                    </a:xfrm>
                    <a:prstGeom prst="rect">
                      <a:avLst/>
                    </a:prstGeom>
                  </pic:spPr>
                </pic:pic>
              </a:graphicData>
            </a:graphic>
          </wp:inline>
        </w:drawing>
      </w:r>
    </w:p>
    <w:p w14:paraId="03C8D7C9" w14:textId="2583E559" w:rsidR="00C71A69" w:rsidRDefault="00C71A69" w:rsidP="00B13CB9">
      <w:pPr>
        <w:rPr>
          <w:lang w:val="en-US"/>
        </w:rPr>
      </w:pPr>
    </w:p>
    <w:p w14:paraId="4B0AF942" w14:textId="77777777" w:rsidR="00C71A69" w:rsidRDefault="00C71A69" w:rsidP="00B13CB9">
      <w:pPr>
        <w:rPr>
          <w:lang w:val="en-US"/>
        </w:rPr>
      </w:pPr>
    </w:p>
    <w:p w14:paraId="7F093E80" w14:textId="77777777" w:rsidR="00C71A69" w:rsidRPr="00C71A69" w:rsidRDefault="00C71A69" w:rsidP="00B13CB9">
      <w:pPr>
        <w:rPr>
          <w:lang w:val="en-US"/>
        </w:rPr>
      </w:pPr>
    </w:p>
    <w:p w14:paraId="083E8FC0" w14:textId="235BC497" w:rsidR="001A53BC" w:rsidRDefault="00C14437" w:rsidP="00C71A69">
      <w:pPr>
        <w:ind w:right="163"/>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68480" behindDoc="0" locked="0" layoutInCell="1" allowOverlap="1" wp14:anchorId="17B595BD" wp14:editId="2C3E20D8">
                <wp:simplePos x="0" y="0"/>
                <wp:positionH relativeFrom="column">
                  <wp:posOffset>-4445</wp:posOffset>
                </wp:positionH>
                <wp:positionV relativeFrom="paragraph">
                  <wp:posOffset>9044305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73C75401" w14:textId="77777777" w:rsidR="00B75ADE" w:rsidRPr="005E00A9" w:rsidRDefault="00B75ADE" w:rsidP="00C14437">
                            <w:pPr>
                              <w:spacing w:line="240" w:lineRule="auto"/>
                              <w:rPr>
                                <w:b/>
                                <w:color w:val="FFFFFF" w:themeColor="background1"/>
                              </w:rPr>
                            </w:pPr>
                            <w:r w:rsidRPr="005E00A9">
                              <w:rPr>
                                <w:b/>
                                <w:color w:val="FFFFFF" w:themeColor="background1"/>
                              </w:rPr>
                              <w:t>ReturnToWorkSA</w:t>
                            </w:r>
                          </w:p>
                          <w:p w14:paraId="40EE8F4B" w14:textId="77777777" w:rsidR="00B75ADE" w:rsidRPr="005E00A9" w:rsidRDefault="00B75ADE" w:rsidP="00C14437">
                            <w:pPr>
                              <w:spacing w:line="240" w:lineRule="auto"/>
                              <w:rPr>
                                <w:color w:val="FFFFFF" w:themeColor="background1"/>
                              </w:rPr>
                            </w:pPr>
                            <w:r w:rsidRPr="005E00A9">
                              <w:rPr>
                                <w:color w:val="FFFFFF" w:themeColor="background1"/>
                              </w:rPr>
                              <w:t>13 18 55</w:t>
                            </w:r>
                          </w:p>
                          <w:p w14:paraId="1AFBFD80" w14:textId="77777777" w:rsidR="00B75ADE" w:rsidRPr="005E00A9" w:rsidRDefault="00EE054B" w:rsidP="00C14437">
                            <w:pPr>
                              <w:spacing w:line="240" w:lineRule="auto"/>
                              <w:rPr>
                                <w:color w:val="FFFFFF" w:themeColor="background1"/>
                              </w:rPr>
                            </w:pPr>
                            <w:hyperlink r:id="rId25" w:history="1">
                              <w:r w:rsidR="00B75ADE" w:rsidRPr="005E00A9">
                                <w:rPr>
                                  <w:rStyle w:val="Hyperlink"/>
                                  <w:color w:val="FFFFFF" w:themeColor="background1"/>
                                </w:rPr>
                                <w:t>info@rtwsa.com</w:t>
                              </w:r>
                            </w:hyperlink>
                          </w:p>
                          <w:p w14:paraId="5038D564" w14:textId="77777777" w:rsidR="00B75ADE" w:rsidRPr="00AD784E" w:rsidRDefault="00B75ADE" w:rsidP="00C14437">
                            <w:pPr>
                              <w:spacing w:line="240" w:lineRule="auto"/>
                              <w:rPr>
                                <w:color w:val="FFFFFF" w:themeColor="background1"/>
                                <w:sz w:val="16"/>
                                <w:szCs w:val="16"/>
                              </w:rPr>
                            </w:pPr>
                            <w:r w:rsidRPr="00AD784E">
                              <w:rPr>
                                <w:color w:val="FFFFFF" w:themeColor="background1"/>
                                <w:sz w:val="16"/>
                                <w:szCs w:val="16"/>
                              </w:rPr>
                              <w:t>© ReturnToWorkSA 2015</w:t>
                            </w:r>
                          </w:p>
                          <w:p w14:paraId="2F5F3884" w14:textId="77777777" w:rsidR="00B75ADE" w:rsidRDefault="00B75ADE" w:rsidP="00C14437">
                            <w:pPr>
                              <w:spacing w:line="240" w:lineRule="auto"/>
                            </w:pPr>
                          </w:p>
                          <w:p w14:paraId="7307FBF6" w14:textId="77777777" w:rsidR="00B75ADE" w:rsidRDefault="00B75ADE" w:rsidP="00C14437"/>
                          <w:p w14:paraId="145A0EAC" w14:textId="77777777" w:rsidR="00B75ADE" w:rsidRDefault="00B75ADE" w:rsidP="00C144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95BD" id="Text Box 2" o:spid="_x0000_s1028" type="#_x0000_t202" style="position:absolute;left:0;text-align:left;margin-left:-.35pt;margin-top:712.15pt;width:139.35pt;height:6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" filled="f" stroked="f">
                <v:textbox>
                  <w:txbxContent>
                    <w:p w14:paraId="73C75401" w14:textId="77777777" w:rsidR="00B75ADE" w:rsidRPr="005E00A9" w:rsidRDefault="00B75ADE" w:rsidP="00C14437">
                      <w:pPr>
                        <w:spacing w:line="240" w:lineRule="auto"/>
                        <w:rPr>
                          <w:b/>
                          <w:color w:val="FFFFFF" w:themeColor="background1"/>
                        </w:rPr>
                      </w:pPr>
                      <w:r w:rsidRPr="005E00A9">
                        <w:rPr>
                          <w:b/>
                          <w:color w:val="FFFFFF" w:themeColor="background1"/>
                        </w:rPr>
                        <w:t>ReturnToWorkSA</w:t>
                      </w:r>
                    </w:p>
                    <w:p w14:paraId="40EE8F4B" w14:textId="77777777" w:rsidR="00B75ADE" w:rsidRPr="005E00A9" w:rsidRDefault="00B75ADE" w:rsidP="00C14437">
                      <w:pPr>
                        <w:spacing w:line="240" w:lineRule="auto"/>
                        <w:rPr>
                          <w:color w:val="FFFFFF" w:themeColor="background1"/>
                        </w:rPr>
                      </w:pPr>
                      <w:r w:rsidRPr="005E00A9">
                        <w:rPr>
                          <w:color w:val="FFFFFF" w:themeColor="background1"/>
                        </w:rPr>
                        <w:t>13 18 55</w:t>
                      </w:r>
                    </w:p>
                    <w:p w14:paraId="1AFBFD80" w14:textId="77777777" w:rsidR="00B75ADE" w:rsidRPr="005E00A9" w:rsidRDefault="00551F2B" w:rsidP="00C14437">
                      <w:pPr>
                        <w:spacing w:line="240" w:lineRule="auto"/>
                        <w:rPr>
                          <w:color w:val="FFFFFF" w:themeColor="background1"/>
                        </w:rPr>
                      </w:pPr>
                      <w:hyperlink r:id="rId29" w:history="1">
                        <w:r w:rsidR="00B75ADE" w:rsidRPr="005E00A9">
                          <w:rPr>
                            <w:rStyle w:val="Hyperlink"/>
                            <w:color w:val="FFFFFF" w:themeColor="background1"/>
                          </w:rPr>
                          <w:t>info@rtwsa.com</w:t>
                        </w:r>
                      </w:hyperlink>
                    </w:p>
                    <w:p w14:paraId="5038D564" w14:textId="77777777" w:rsidR="00B75ADE" w:rsidRPr="00AD784E" w:rsidRDefault="00B75ADE" w:rsidP="00C14437">
                      <w:pPr>
                        <w:spacing w:line="240" w:lineRule="auto"/>
                        <w:rPr>
                          <w:color w:val="FFFFFF" w:themeColor="background1"/>
                          <w:sz w:val="16"/>
                          <w:szCs w:val="16"/>
                        </w:rPr>
                      </w:pPr>
                      <w:r w:rsidRPr="00AD784E">
                        <w:rPr>
                          <w:color w:val="FFFFFF" w:themeColor="background1"/>
                          <w:sz w:val="16"/>
                          <w:szCs w:val="16"/>
                        </w:rPr>
                        <w:t>© ReturnToWorkSA 2015</w:t>
                      </w:r>
                    </w:p>
                    <w:p w14:paraId="2F5F3884" w14:textId="77777777" w:rsidR="00B75ADE" w:rsidRDefault="00B75ADE" w:rsidP="00C14437">
                      <w:pPr>
                        <w:spacing w:line="240" w:lineRule="auto"/>
                      </w:pPr>
                    </w:p>
                    <w:p w14:paraId="7307FBF6" w14:textId="77777777" w:rsidR="00B75ADE" w:rsidRDefault="00B75ADE" w:rsidP="00C14437"/>
                    <w:p w14:paraId="145A0EAC" w14:textId="77777777" w:rsidR="00B75ADE" w:rsidRDefault="00B75ADE" w:rsidP="00C14437"/>
                  </w:txbxContent>
                </v:textbox>
              </v:shape>
            </w:pict>
          </mc:Fallback>
        </mc:AlternateContent>
      </w:r>
    </w:p>
    <w:p w14:paraId="7AFE9C8A" w14:textId="36EFAA0F" w:rsidR="001A53BC" w:rsidRDefault="001A53BC">
      <w:pPr>
        <w:spacing w:line="240" w:lineRule="auto"/>
        <w:jc w:val="left"/>
        <w:rPr>
          <w:rFonts w:ascii="Calibri Light" w:hAnsi="Calibri Light" w:cs="SourceSansPro-Light"/>
          <w:color w:val="000000"/>
          <w:sz w:val="20"/>
          <w:szCs w:val="20"/>
          <w:lang w:val="en-US"/>
        </w:rPr>
      </w:pPr>
    </w:p>
    <w:p w14:paraId="67FBEDBD" w14:textId="6315C3E7" w:rsidR="00023865" w:rsidRPr="00023865" w:rsidRDefault="003568C1" w:rsidP="00B13CB9">
      <w:pPr>
        <w:ind w:right="163"/>
        <w:rPr>
          <w:rFonts w:ascii="Calibri Light" w:hAnsi="Calibri Light" w:cs="SourceSansPro-Light"/>
          <w:color w:val="000000"/>
          <w:sz w:val="20"/>
          <w:szCs w:val="20"/>
          <w:lang w:val="en-US"/>
        </w:rPr>
      </w:pPr>
      <w:r>
        <w:rPr>
          <w:rFonts w:ascii="Calibri Light" w:hAnsi="Calibri Light" w:cs="SourceSansPro-Light"/>
          <w:color w:val="000000"/>
          <w:sz w:val="20"/>
          <w:szCs w:val="20"/>
          <w:lang w:val="en-US"/>
        </w:rPr>
        <w:br w:type="page"/>
      </w:r>
      <w:r w:rsidR="001544CC" w:rsidRPr="000A1077">
        <w:rPr>
          <w:rFonts w:ascii="Calibri Light" w:hAnsi="Calibri Light" w:cs="SourceSansPro-Light"/>
          <w:noProof/>
          <w:color w:val="000000"/>
          <w:sz w:val="20"/>
          <w:szCs w:val="20"/>
          <w:lang w:eastAsia="en-AU"/>
        </w:rPr>
        <w:lastRenderedPageBreak/>
        <w:drawing>
          <wp:anchor distT="0" distB="0" distL="114300" distR="114300" simplePos="0" relativeHeight="251664384" behindDoc="1" locked="0" layoutInCell="1" allowOverlap="1" wp14:anchorId="667EC63F" wp14:editId="28885F8A">
            <wp:simplePos x="0" y="0"/>
            <wp:positionH relativeFrom="column">
              <wp:posOffset>-580390</wp:posOffset>
            </wp:positionH>
            <wp:positionV relativeFrom="paragraph">
              <wp:posOffset>-475615</wp:posOffset>
            </wp:positionV>
            <wp:extent cx="7658100" cy="109080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Alterative Back page.jpg"/>
                    <pic:cNvPicPr/>
                  </pic:nvPicPr>
                  <pic:blipFill>
                    <a:blip r:embed="rId30">
                      <a:extLst>
                        <a:ext uri="{28A0092B-C50C-407E-A947-70E740481C1C}">
                          <a14:useLocalDpi xmlns:a14="http://schemas.microsoft.com/office/drawing/2010/main" val="0"/>
                        </a:ext>
                      </a:extLst>
                    </a:blip>
                    <a:stretch>
                      <a:fillRect/>
                    </a:stretch>
                  </pic:blipFill>
                  <pic:spPr>
                    <a:xfrm>
                      <a:off x="0" y="0"/>
                      <a:ext cx="7658100" cy="109080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068F6"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0528" behindDoc="0" locked="0" layoutInCell="1" allowOverlap="1" wp14:anchorId="12C60641" wp14:editId="1B999A7B">
                <wp:simplePos x="0" y="0"/>
                <wp:positionH relativeFrom="column">
                  <wp:posOffset>-403910</wp:posOffset>
                </wp:positionH>
                <wp:positionV relativeFrom="paragraph">
                  <wp:posOffset>6887210</wp:posOffset>
                </wp:positionV>
                <wp:extent cx="6626225" cy="1568450"/>
                <wp:effectExtent l="0" t="0" r="22225"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568450"/>
                        </a:xfrm>
                        <a:prstGeom prst="rect">
                          <a:avLst/>
                        </a:prstGeom>
                        <a:solidFill>
                          <a:srgbClr val="FFFFFF"/>
                        </a:solidFill>
                        <a:ln w="9525">
                          <a:solidFill>
                            <a:schemeClr val="accent1">
                              <a:shade val="95000"/>
                              <a:satMod val="105000"/>
                            </a:schemeClr>
                          </a:solidFill>
                          <a:miter lim="800000"/>
                          <a:headEnd/>
                          <a:tailEnd/>
                        </a:ln>
                      </wps:spPr>
                      <wps:txbx>
                        <w:txbxContent>
                          <w:p w14:paraId="1674AA52" w14:textId="77777777" w:rsidR="00B75ADE" w:rsidRPr="00D47D77" w:rsidRDefault="00B75ADE" w:rsidP="009068F6">
                            <w:pPr>
                              <w:spacing w:after="120"/>
                              <w:rPr>
                                <w:rFonts w:ascii="Source Sans Pro" w:hAnsi="Source Sans Pro" w:cs="Arial"/>
                                <w:szCs w:val="22"/>
                              </w:rPr>
                            </w:pPr>
                            <w:r w:rsidRPr="00D47D77">
                              <w:rPr>
                                <w:rFonts w:ascii="Source Sans Pro" w:hAnsi="Source Sans Pro" w:cs="Arial"/>
                                <w:szCs w:val="22"/>
                              </w:rPr>
                              <w:t>The following free information support services are available:</w:t>
                            </w:r>
                          </w:p>
                          <w:p w14:paraId="14B6BA06" w14:textId="77777777" w:rsidR="00B75ADE" w:rsidRPr="000A39A6" w:rsidRDefault="00B75ADE" w:rsidP="009068F6">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If you are deaf or have a hearing or speech </w:t>
                            </w:r>
                            <w:proofErr w:type="gramStart"/>
                            <w:r w:rsidRPr="000A39A6">
                              <w:rPr>
                                <w:rFonts w:ascii="Source Sans Pro" w:hAnsi="Source Sans Pro" w:cs="Source Sans Pro"/>
                                <w:sz w:val="22"/>
                                <w:szCs w:val="22"/>
                              </w:rPr>
                              <w:t>impairment</w:t>
                            </w:r>
                            <w:proofErr w:type="gramEnd"/>
                            <w:r w:rsidRPr="000A39A6">
                              <w:rPr>
                                <w:rFonts w:ascii="Source Sans Pro" w:hAnsi="Source Sans Pro" w:cs="Source Sans Pro"/>
                                <w:sz w:val="22"/>
                                <w:szCs w:val="22"/>
                              </w:rPr>
                              <w:t xml:space="preserve"> you can call ReturnToWorkSA on </w:t>
                            </w:r>
                            <w:r w:rsidRPr="000A39A6">
                              <w:rPr>
                                <w:rStyle w:val="Bold"/>
                                <w:rFonts w:ascii="Source Sans Pro" w:hAnsi="Source Sans Pro" w:cs="Source Sans Pro"/>
                                <w:sz w:val="22"/>
                                <w:szCs w:val="22"/>
                              </w:rPr>
                              <w:t xml:space="preserve">13 18 55 </w:t>
                            </w:r>
                            <w:r w:rsidRPr="000A39A6">
                              <w:rPr>
                                <w:rFonts w:ascii="Source Sans Pro" w:hAnsi="Source Sans Pro" w:cs="Source Sans Pro"/>
                                <w:sz w:val="22"/>
                                <w:szCs w:val="22"/>
                              </w:rPr>
                              <w:t xml:space="preserve">through the National Relay Service (NRS) </w:t>
                            </w:r>
                            <w:r w:rsidRPr="000A39A6">
                              <w:rPr>
                                <w:rStyle w:val="Bold"/>
                                <w:rFonts w:ascii="Source Sans Pro" w:hAnsi="Source Sans Pro" w:cs="Source Sans Pro"/>
                                <w:sz w:val="22"/>
                                <w:szCs w:val="22"/>
                              </w:rPr>
                              <w:t>www.relayservice.gov.au</w:t>
                            </w:r>
                            <w:r w:rsidRPr="000A39A6">
                              <w:rPr>
                                <w:rFonts w:ascii="Source Sans Pro" w:hAnsi="Source Sans Pro" w:cs="Source Sans Pro"/>
                                <w:sz w:val="22"/>
                                <w:szCs w:val="22"/>
                              </w:rPr>
                              <w:t>.</w:t>
                            </w:r>
                          </w:p>
                          <w:p w14:paraId="410B2E6E" w14:textId="77777777" w:rsidR="00B75ADE" w:rsidRPr="000A39A6" w:rsidRDefault="00B75ADE" w:rsidP="009068F6">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For languages other than English call the Interpreting and Translating Centre on </w:t>
                            </w:r>
                            <w:r w:rsidRPr="000A39A6">
                              <w:rPr>
                                <w:rStyle w:val="Bold"/>
                                <w:rFonts w:ascii="Source Sans Pro" w:hAnsi="Source Sans Pro" w:cs="Source Sans Pro"/>
                                <w:sz w:val="22"/>
                                <w:szCs w:val="22"/>
                              </w:rPr>
                              <w:t>1800 280 203</w:t>
                            </w:r>
                            <w:r w:rsidRPr="000A39A6">
                              <w:rPr>
                                <w:rFonts w:ascii="Source Sans Pro" w:hAnsi="Source Sans Pro" w:cs="Source Sans Pro"/>
                                <w:sz w:val="22"/>
                                <w:szCs w:val="22"/>
                              </w:rPr>
                              <w:t xml:space="preserve"> and ask </w:t>
                            </w:r>
                            <w:proofErr w:type="gramStart"/>
                            <w:r w:rsidRPr="000A39A6">
                              <w:rPr>
                                <w:rFonts w:ascii="Source Sans Pro" w:hAnsi="Source Sans Pro" w:cs="Source Sans Pro"/>
                                <w:sz w:val="22"/>
                                <w:szCs w:val="22"/>
                              </w:rPr>
                              <w:t>for an</w:t>
                            </w:r>
                            <w:proofErr w:type="gramEnd"/>
                            <w:r w:rsidRPr="000A39A6">
                              <w:rPr>
                                <w:rFonts w:ascii="Source Sans Pro" w:hAnsi="Source Sans Pro" w:cs="Source Sans Pro"/>
                                <w:sz w:val="22"/>
                                <w:szCs w:val="22"/>
                              </w:rPr>
                              <w:t xml:space="preserve"> interpreter to call ReturnToWorkSA on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 xml:space="preserve">. </w:t>
                            </w:r>
                          </w:p>
                          <w:p w14:paraId="6500F8EB" w14:textId="77777777" w:rsidR="00B75ADE" w:rsidRPr="009068F6" w:rsidRDefault="00B75ADE" w:rsidP="009068F6">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For braille, audio or e-text of the information in this brochure call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60641" id="_x0000_s1029" type="#_x0000_t202" style="position:absolute;left:0;text-align:left;margin-left:-31.8pt;margin-top:542.3pt;width:521.75pt;height:1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" strokecolor="#991a24 [3044]">
                <v:textbox>
                  <w:txbxContent>
                    <w:p w14:paraId="1674AA52" w14:textId="77777777" w:rsidR="00B75ADE" w:rsidRPr="00D47D77" w:rsidRDefault="00B75ADE" w:rsidP="009068F6">
                      <w:pPr>
                        <w:spacing w:after="120"/>
                        <w:rPr>
                          <w:rFonts w:ascii="Source Sans Pro" w:hAnsi="Source Sans Pro" w:cs="Arial"/>
                          <w:szCs w:val="22"/>
                        </w:rPr>
                      </w:pPr>
                      <w:r w:rsidRPr="00D47D77">
                        <w:rPr>
                          <w:rFonts w:ascii="Source Sans Pro" w:hAnsi="Source Sans Pro" w:cs="Arial"/>
                          <w:szCs w:val="22"/>
                        </w:rPr>
                        <w:t>The following free information support services are available:</w:t>
                      </w:r>
                    </w:p>
                    <w:p w14:paraId="14B6BA06" w14:textId="77777777" w:rsidR="00B75ADE" w:rsidRPr="000A39A6" w:rsidRDefault="00B75ADE" w:rsidP="009068F6">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If you are deaf or have a hearing or speech impairment you can call ReturnToWorkSA on </w:t>
                      </w:r>
                      <w:r w:rsidRPr="000A39A6">
                        <w:rPr>
                          <w:rStyle w:val="Bold"/>
                          <w:rFonts w:ascii="Source Sans Pro" w:hAnsi="Source Sans Pro" w:cs="Source Sans Pro"/>
                          <w:sz w:val="22"/>
                          <w:szCs w:val="22"/>
                        </w:rPr>
                        <w:t xml:space="preserve">13 18 55 </w:t>
                      </w:r>
                      <w:r w:rsidRPr="000A39A6">
                        <w:rPr>
                          <w:rFonts w:ascii="Source Sans Pro" w:hAnsi="Source Sans Pro" w:cs="Source Sans Pro"/>
                          <w:sz w:val="22"/>
                          <w:szCs w:val="22"/>
                        </w:rPr>
                        <w:t xml:space="preserve">through the National Relay Service (NRS) </w:t>
                      </w:r>
                      <w:r w:rsidRPr="000A39A6">
                        <w:rPr>
                          <w:rStyle w:val="Bold"/>
                          <w:rFonts w:ascii="Source Sans Pro" w:hAnsi="Source Sans Pro" w:cs="Source Sans Pro"/>
                          <w:sz w:val="22"/>
                          <w:szCs w:val="22"/>
                        </w:rPr>
                        <w:t>www.relayservice.gov.au</w:t>
                      </w:r>
                      <w:r w:rsidRPr="000A39A6">
                        <w:rPr>
                          <w:rFonts w:ascii="Source Sans Pro" w:hAnsi="Source Sans Pro" w:cs="Source Sans Pro"/>
                          <w:sz w:val="22"/>
                          <w:szCs w:val="22"/>
                        </w:rPr>
                        <w:t>.</w:t>
                      </w:r>
                    </w:p>
                    <w:p w14:paraId="410B2E6E" w14:textId="77777777" w:rsidR="00B75ADE" w:rsidRPr="000A39A6" w:rsidRDefault="00B75ADE" w:rsidP="009068F6">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For languages other than English call the Interpreting and Translating Centre on </w:t>
                      </w:r>
                      <w:r w:rsidRPr="000A39A6">
                        <w:rPr>
                          <w:rStyle w:val="Bold"/>
                          <w:rFonts w:ascii="Source Sans Pro" w:hAnsi="Source Sans Pro" w:cs="Source Sans Pro"/>
                          <w:sz w:val="22"/>
                          <w:szCs w:val="22"/>
                        </w:rPr>
                        <w:t>1800 280 203</w:t>
                      </w:r>
                      <w:r w:rsidRPr="000A39A6">
                        <w:rPr>
                          <w:rFonts w:ascii="Source Sans Pro" w:hAnsi="Source Sans Pro" w:cs="Source Sans Pro"/>
                          <w:sz w:val="22"/>
                          <w:szCs w:val="22"/>
                        </w:rPr>
                        <w:t xml:space="preserve"> and ask for an interpreter to call ReturnToWorkSA on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 xml:space="preserve">. </w:t>
                      </w:r>
                    </w:p>
                    <w:p w14:paraId="6500F8EB" w14:textId="77777777" w:rsidR="00B75ADE" w:rsidRPr="009068F6" w:rsidRDefault="00B75ADE" w:rsidP="009068F6">
                      <w:pPr>
                        <w:pStyle w:val="Body"/>
                        <w:spacing w:after="170"/>
                        <w:rPr>
                          <w:rFonts w:ascii="Source Sans Pro" w:hAnsi="Source Sans Pro" w:cs="Source Sans Pro"/>
                          <w:sz w:val="22"/>
                          <w:szCs w:val="22"/>
                        </w:rPr>
                      </w:pPr>
                      <w:r w:rsidRPr="000A39A6">
                        <w:rPr>
                          <w:rFonts w:ascii="Source Sans Pro" w:hAnsi="Source Sans Pro" w:cs="Source Sans Pro"/>
                          <w:sz w:val="22"/>
                          <w:szCs w:val="22"/>
                        </w:rPr>
                        <w:t xml:space="preserve">For braille, audio or e-text of the information in this brochure call </w:t>
                      </w:r>
                      <w:r w:rsidRPr="000A39A6">
                        <w:rPr>
                          <w:rStyle w:val="Bold"/>
                          <w:rFonts w:ascii="Source Sans Pro" w:hAnsi="Source Sans Pro" w:cs="Source Sans Pro"/>
                          <w:sz w:val="22"/>
                          <w:szCs w:val="22"/>
                        </w:rPr>
                        <w:t>13 18 55</w:t>
                      </w:r>
                      <w:r w:rsidRPr="000A39A6">
                        <w:rPr>
                          <w:rFonts w:ascii="Source Sans Pro" w:hAnsi="Source Sans Pro" w:cs="Source Sans Pro"/>
                          <w:sz w:val="22"/>
                          <w:szCs w:val="22"/>
                        </w:rPr>
                        <w:t>.</w:t>
                      </w:r>
                    </w:p>
                  </w:txbxContent>
                </v:textbox>
              </v:shape>
            </w:pict>
          </mc:Fallback>
        </mc:AlternateContent>
      </w:r>
      <w:r w:rsidR="00072906"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72576" behindDoc="0" locked="0" layoutInCell="1" allowOverlap="1" wp14:anchorId="32DFF044" wp14:editId="54113DB0">
                <wp:simplePos x="0" y="0"/>
                <wp:positionH relativeFrom="column">
                  <wp:posOffset>-13335</wp:posOffset>
                </wp:positionH>
                <wp:positionV relativeFrom="paragraph">
                  <wp:posOffset>8951595</wp:posOffset>
                </wp:positionV>
                <wp:extent cx="1769745" cy="835660"/>
                <wp:effectExtent l="0" t="0" r="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2AFFED63" w14:textId="77777777" w:rsidR="00B75ADE" w:rsidRPr="009E55D9" w:rsidRDefault="00B75ADE" w:rsidP="00072906">
                            <w:pPr>
                              <w:spacing w:line="240" w:lineRule="auto"/>
                              <w:rPr>
                                <w:b/>
                              </w:rPr>
                            </w:pPr>
                            <w:r w:rsidRPr="009E55D9">
                              <w:rPr>
                                <w:b/>
                              </w:rPr>
                              <w:t>ReturnToWorkSA</w:t>
                            </w:r>
                          </w:p>
                          <w:p w14:paraId="3742AB95" w14:textId="77777777" w:rsidR="00B75ADE" w:rsidRDefault="00B75ADE" w:rsidP="00072906">
                            <w:pPr>
                              <w:spacing w:line="240" w:lineRule="auto"/>
                            </w:pPr>
                            <w:r>
                              <w:t>13 18 55</w:t>
                            </w:r>
                          </w:p>
                          <w:p w14:paraId="13BD4AF3" w14:textId="77777777" w:rsidR="00B75ADE" w:rsidRDefault="00EE054B" w:rsidP="00072906">
                            <w:pPr>
                              <w:spacing w:line="240" w:lineRule="auto"/>
                            </w:pPr>
                            <w:hyperlink r:id="rId31" w:history="1">
                              <w:r w:rsidR="00B75ADE" w:rsidRPr="0047467E">
                                <w:rPr>
                                  <w:rStyle w:val="Hyperlink"/>
                                </w:rPr>
                                <w:t>info@rtwsa.com</w:t>
                              </w:r>
                            </w:hyperlink>
                          </w:p>
                          <w:p w14:paraId="5FF0FB41" w14:textId="77777777" w:rsidR="00B75ADE" w:rsidRPr="00555CAA" w:rsidRDefault="00B75ADE" w:rsidP="00072906">
                            <w:pPr>
                              <w:spacing w:line="240" w:lineRule="auto"/>
                              <w:rPr>
                                <w:sz w:val="16"/>
                              </w:rPr>
                            </w:pPr>
                            <w:r w:rsidRPr="00555CAA">
                              <w:rPr>
                                <w:sz w:val="16"/>
                              </w:rPr>
                              <w:t>© ReturnToWorkSA 2015</w:t>
                            </w:r>
                          </w:p>
                          <w:p w14:paraId="3AE3E88C" w14:textId="77777777" w:rsidR="00B75ADE" w:rsidRDefault="00B75ADE" w:rsidP="00072906">
                            <w:pPr>
                              <w:spacing w:line="240" w:lineRule="auto"/>
                            </w:pPr>
                          </w:p>
                          <w:p w14:paraId="545D06F8" w14:textId="77777777" w:rsidR="00B75ADE" w:rsidRDefault="00B75ADE" w:rsidP="00072906"/>
                          <w:p w14:paraId="0FE13635" w14:textId="77777777" w:rsidR="00B75ADE" w:rsidRDefault="00B75ADE" w:rsidP="000729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FF044" id="_x0000_s1030" type="#_x0000_t202" style="position:absolute;left:0;text-align:left;margin-left:-1.05pt;margin-top:704.85pt;width:139.35pt;height:6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" filled="f" stroked="f">
                <v:textbox>
                  <w:txbxContent>
                    <w:p w14:paraId="2AFFED63" w14:textId="77777777" w:rsidR="00B75ADE" w:rsidRPr="009E55D9" w:rsidRDefault="00B75ADE" w:rsidP="00072906">
                      <w:pPr>
                        <w:spacing w:line="240" w:lineRule="auto"/>
                        <w:rPr>
                          <w:b/>
                        </w:rPr>
                      </w:pPr>
                      <w:r w:rsidRPr="009E55D9">
                        <w:rPr>
                          <w:b/>
                        </w:rPr>
                        <w:t>ReturnToWorkSA</w:t>
                      </w:r>
                    </w:p>
                    <w:p w14:paraId="3742AB95" w14:textId="77777777" w:rsidR="00B75ADE" w:rsidRDefault="00B75ADE" w:rsidP="00072906">
                      <w:pPr>
                        <w:spacing w:line="240" w:lineRule="auto"/>
                      </w:pPr>
                      <w:r>
                        <w:t>13 18 55</w:t>
                      </w:r>
                    </w:p>
                    <w:p w14:paraId="13BD4AF3" w14:textId="77777777" w:rsidR="00B75ADE" w:rsidRDefault="00551F2B" w:rsidP="00072906">
                      <w:pPr>
                        <w:spacing w:line="240" w:lineRule="auto"/>
                      </w:pPr>
                      <w:hyperlink r:id="rId32" w:history="1">
                        <w:r w:rsidR="00B75ADE" w:rsidRPr="0047467E">
                          <w:rPr>
                            <w:rStyle w:val="Hyperlink"/>
                          </w:rPr>
                          <w:t>info@rtwsa.com</w:t>
                        </w:r>
                      </w:hyperlink>
                    </w:p>
                    <w:p w14:paraId="5FF0FB41" w14:textId="77777777" w:rsidR="00B75ADE" w:rsidRPr="00555CAA" w:rsidRDefault="00B75ADE" w:rsidP="00072906">
                      <w:pPr>
                        <w:spacing w:line="240" w:lineRule="auto"/>
                        <w:rPr>
                          <w:sz w:val="16"/>
                        </w:rPr>
                      </w:pPr>
                      <w:r w:rsidRPr="00555CAA">
                        <w:rPr>
                          <w:sz w:val="16"/>
                        </w:rPr>
                        <w:t>© ReturnToWorkSA 2015</w:t>
                      </w:r>
                    </w:p>
                    <w:p w14:paraId="3AE3E88C" w14:textId="77777777" w:rsidR="00B75ADE" w:rsidRDefault="00B75ADE" w:rsidP="00072906">
                      <w:pPr>
                        <w:spacing w:line="240" w:lineRule="auto"/>
                      </w:pPr>
                    </w:p>
                    <w:p w14:paraId="545D06F8" w14:textId="77777777" w:rsidR="00B75ADE" w:rsidRDefault="00B75ADE" w:rsidP="00072906"/>
                    <w:p w14:paraId="0FE13635" w14:textId="77777777" w:rsidR="00B75ADE" w:rsidRDefault="00B75ADE" w:rsidP="00072906"/>
                  </w:txbxContent>
                </v:textbox>
              </v:shape>
            </w:pict>
          </mc:Fallback>
        </mc:AlternateContent>
      </w:r>
      <w:r w:rsidR="00072906">
        <w:rPr>
          <w:rFonts w:ascii="Calibri Light" w:hAnsi="Calibri Light" w:cs="SourceSansPro-Light"/>
          <w:color w:val="000000"/>
          <w:sz w:val="20"/>
          <w:szCs w:val="20"/>
          <w:lang w:val="en-US"/>
        </w:rPr>
        <w:tab/>
      </w:r>
    </w:p>
    <w:sectPr w:rsidR="00023865" w:rsidRPr="00023865" w:rsidSect="00B13CB9">
      <w:pgSz w:w="11900" w:h="16840"/>
      <w:pgMar w:top="794" w:right="737" w:bottom="737" w:left="72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D13AD" w14:textId="77777777" w:rsidR="00B75ADE" w:rsidRDefault="00B75ADE" w:rsidP="00C051EB">
      <w:r>
        <w:separator/>
      </w:r>
    </w:p>
  </w:endnote>
  <w:endnote w:type="continuationSeparator" w:id="0">
    <w:p w14:paraId="364276A4" w14:textId="77777777" w:rsidR="00B75ADE" w:rsidRDefault="00B75ADE" w:rsidP="00C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Source Sans Pro (OTF)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492AC" w14:textId="77777777" w:rsidR="00B75ADE" w:rsidRDefault="00B75ADE" w:rsidP="00101217">
    <w:pPr>
      <w:pStyle w:val="Footer"/>
      <w:ind w:left="-42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680273"/>
      <w:docPartObj>
        <w:docPartGallery w:val="Page Numbers (Bottom of Page)"/>
        <w:docPartUnique/>
      </w:docPartObj>
    </w:sdtPr>
    <w:sdtEndPr>
      <w:rPr>
        <w:noProof/>
      </w:rPr>
    </w:sdtEndPr>
    <w:sdtContent>
      <w:p w14:paraId="4A332F48" w14:textId="63FFC3F7" w:rsidR="00C71A69" w:rsidRDefault="00C71A69">
        <w:pPr>
          <w:pStyle w:val="Footer"/>
          <w:jc w:val="right"/>
        </w:pPr>
        <w:r>
          <w:fldChar w:fldCharType="begin"/>
        </w:r>
        <w:r>
          <w:instrText xml:space="preserve"> PAGE   \* MERGEFORMAT </w:instrText>
        </w:r>
        <w:r>
          <w:fldChar w:fldCharType="separate"/>
        </w:r>
        <w:r w:rsidR="00EE054B">
          <w:rPr>
            <w:noProof/>
          </w:rPr>
          <w:t>11</w:t>
        </w:r>
        <w:r>
          <w:rPr>
            <w:noProof/>
          </w:rPr>
          <w:fldChar w:fldCharType="end"/>
        </w:r>
      </w:p>
    </w:sdtContent>
  </w:sdt>
  <w:p w14:paraId="70D337F2" w14:textId="77777777" w:rsidR="00B75ADE" w:rsidRDefault="00B75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40E8" w14:textId="77777777" w:rsidR="00B75ADE" w:rsidRDefault="00B75ADE"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F748D" w14:textId="77777777" w:rsidR="00B75ADE" w:rsidRDefault="00B75ADE" w:rsidP="00C051EB">
      <w:r>
        <w:separator/>
      </w:r>
    </w:p>
  </w:footnote>
  <w:footnote w:type="continuationSeparator" w:id="0">
    <w:p w14:paraId="6D78E318" w14:textId="77777777" w:rsidR="00B75ADE" w:rsidRDefault="00B75ADE" w:rsidP="00C05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02F9" w14:textId="77777777" w:rsidR="00B75ADE" w:rsidRDefault="00B75ADE" w:rsidP="00C051EB">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92167" w14:textId="6B86451E" w:rsidR="00B75ADE" w:rsidRDefault="007E0A26" w:rsidP="009E6862">
    <w:pPr>
      <w:tabs>
        <w:tab w:val="left" w:pos="3422"/>
        <w:tab w:val="center" w:pos="5950"/>
      </w:tabs>
      <w:jc w:val="center"/>
      <w:rPr>
        <w:rFonts w:ascii="Arial" w:hAnsi="Arial" w:cs="Arial"/>
        <w:b/>
      </w:rPr>
    </w:pPr>
    <w:r>
      <w:rPr>
        <w:noProof/>
        <w:lang w:eastAsia="en-AU"/>
      </w:rPr>
      <w:drawing>
        <wp:anchor distT="0" distB="0" distL="114300" distR="114300" simplePos="0" relativeHeight="251657216" behindDoc="1" locked="0" layoutInCell="1" allowOverlap="1" wp14:anchorId="4224FAB4" wp14:editId="1FB2A4DB">
          <wp:simplePos x="0" y="0"/>
          <wp:positionH relativeFrom="margin">
            <wp:posOffset>-1270</wp:posOffset>
          </wp:positionH>
          <wp:positionV relativeFrom="margin">
            <wp:posOffset>-433872</wp:posOffset>
          </wp:positionV>
          <wp:extent cx="7560000" cy="10693741"/>
          <wp:effectExtent l="0" t="0" r="317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0049 Report Internal 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p>
  <w:p w14:paraId="756317B9" w14:textId="13262808" w:rsidR="00B75ADE" w:rsidRPr="009E6862" w:rsidRDefault="00A232EC" w:rsidP="00A232EC">
    <w:pPr>
      <w:tabs>
        <w:tab w:val="left" w:pos="3422"/>
        <w:tab w:val="center" w:pos="5950"/>
      </w:tabs>
      <w:jc w:val="center"/>
      <w:rPr>
        <w:rFonts w:ascii="Arial" w:hAnsi="Arial" w:cs="Arial"/>
        <w:b/>
      </w:rPr>
    </w:pPr>
    <w:r w:rsidRPr="00A232EC">
      <w:rPr>
        <w:rFonts w:ascii="Arial" w:hAnsi="Arial" w:cs="Arial"/>
        <w:b/>
      </w:rPr>
      <w:t>Public-I3-A2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41232" w14:textId="77777777" w:rsidR="00B75ADE" w:rsidRDefault="00B75ADE" w:rsidP="00C051EB">
    <w:pPr>
      <w:pStyle w:val="Header"/>
      <w:ind w:left="-567"/>
      <w:jc w:val="center"/>
      <w:rPr>
        <w:rFonts w:ascii="Arial" w:hAnsi="Arial" w:cs="Arial"/>
        <w:b/>
      </w:rPr>
    </w:pPr>
  </w:p>
  <w:p w14:paraId="463AF2F0" w14:textId="2ECEAF63" w:rsidR="00B75ADE" w:rsidRDefault="00660237" w:rsidP="00660237">
    <w:pPr>
      <w:pStyle w:val="Header"/>
      <w:ind w:left="-567"/>
      <w:jc w:val="center"/>
    </w:pPr>
    <w:r w:rsidRPr="00660237">
      <w:rPr>
        <w:rFonts w:ascii="Arial" w:hAnsi="Arial" w:cs="Arial"/>
        <w:b/>
      </w:rPr>
      <w:t>Public-I3-A2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5A0E" w14:textId="77777777" w:rsidR="00B75ADE" w:rsidRDefault="00B75ADE" w:rsidP="007E6552">
    <w:pPr>
      <w:tabs>
        <w:tab w:val="center" w:pos="595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9C4F" w14:textId="77777777" w:rsidR="00B75ADE" w:rsidRPr="003E7473" w:rsidRDefault="00B75ADE" w:rsidP="00B75ADE">
    <w:pPr>
      <w:pStyle w:val="Header"/>
      <w:rPr>
        <w:rFonts w:ascii="Source Sans Pro" w:hAnsi="Source Sans Pro"/>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D46D9" w14:textId="77777777" w:rsidR="00B75ADE" w:rsidRDefault="00B75ADE" w:rsidP="007E6552">
    <w:pPr>
      <w:tabs>
        <w:tab w:val="center" w:pos="59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08C65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95666E"/>
    <w:multiLevelType w:val="hybridMultilevel"/>
    <w:tmpl w:val="8F62182E"/>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4442AB"/>
    <w:multiLevelType w:val="hybridMultilevel"/>
    <w:tmpl w:val="B986D8AE"/>
    <w:lvl w:ilvl="0" w:tplc="7F043B70">
      <w:start w:val="1"/>
      <w:numFmt w:val="bullet"/>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A57D7D"/>
    <w:multiLevelType w:val="hybridMultilevel"/>
    <w:tmpl w:val="E8FC969A"/>
    <w:lvl w:ilvl="0" w:tplc="7F043B70">
      <w:start w:val="1"/>
      <w:numFmt w:val="bullet"/>
      <w:lvlText w:val=""/>
      <w:lvlJc w:val="left"/>
      <w:pPr>
        <w:ind w:left="766" w:hanging="360"/>
      </w:pPr>
      <w:rPr>
        <w:rFonts w:ascii="Symbol" w:hAnsi="Symbol" w:hint="default"/>
        <w:color w:val="C00000"/>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 w15:restartNumberingAfterBreak="0">
    <w:nsid w:val="4B3E57D3"/>
    <w:multiLevelType w:val="hybridMultilevel"/>
    <w:tmpl w:val="F53CA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18A554A"/>
    <w:multiLevelType w:val="hybridMultilevel"/>
    <w:tmpl w:val="61B01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C72E35"/>
    <w:multiLevelType w:val="hybridMultilevel"/>
    <w:tmpl w:val="B6AA1EEC"/>
    <w:lvl w:ilvl="0" w:tplc="87F8CDEE">
      <w:start w:val="1"/>
      <w:numFmt w:val="bullet"/>
      <w:pStyle w:val="Bullet1"/>
      <w:lvlText w:val=""/>
      <w:lvlJc w:val="left"/>
      <w:pPr>
        <w:ind w:left="72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6B4366"/>
    <w:multiLevelType w:val="hybridMultilevel"/>
    <w:tmpl w:val="AA6EA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F602CFE"/>
    <w:multiLevelType w:val="multilevel"/>
    <w:tmpl w:val="3E7EF4A8"/>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697B6A90"/>
    <w:multiLevelType w:val="hybridMultilevel"/>
    <w:tmpl w:val="E55ED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239584C"/>
    <w:multiLevelType w:val="hybridMultilevel"/>
    <w:tmpl w:val="31D06F0C"/>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3"/>
  </w:num>
  <w:num w:numId="4">
    <w:abstractNumId w:val="6"/>
  </w:num>
  <w:num w:numId="5">
    <w:abstractNumId w:val="3"/>
  </w:num>
  <w:num w:numId="6">
    <w:abstractNumId w:val="8"/>
  </w:num>
  <w:num w:numId="7">
    <w:abstractNumId w:val="10"/>
  </w:num>
  <w:num w:numId="8">
    <w:abstractNumId w:val="5"/>
  </w:num>
  <w:num w:numId="9">
    <w:abstractNumId w:val="7"/>
  </w:num>
  <w:num w:numId="10">
    <w:abstractNumId w:val="11"/>
  </w:num>
  <w:num w:numId="11">
    <w:abstractNumId w:val="12"/>
  </w:num>
  <w:num w:numId="12">
    <w:abstractNumId w:val="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n-US" w:vendorID="64" w:dllVersion="131078" w:nlCheck="1" w:checkStyle="0"/>
  <w:activeWritingStyle w:appName="MSWord" w:lang="en-AU" w:vendorID="64" w:dllVersion="131078" w:nlCheck="1" w:checkStyle="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C5"/>
    <w:rsid w:val="00020FD3"/>
    <w:rsid w:val="00022867"/>
    <w:rsid w:val="00023865"/>
    <w:rsid w:val="0004195A"/>
    <w:rsid w:val="0004609A"/>
    <w:rsid w:val="00072906"/>
    <w:rsid w:val="0009586E"/>
    <w:rsid w:val="000A1077"/>
    <w:rsid w:val="000A2634"/>
    <w:rsid w:val="000A71D9"/>
    <w:rsid w:val="000B0852"/>
    <w:rsid w:val="000E4E2B"/>
    <w:rsid w:val="000E7AB3"/>
    <w:rsid w:val="000F46FC"/>
    <w:rsid w:val="00101217"/>
    <w:rsid w:val="001039C7"/>
    <w:rsid w:val="001130A0"/>
    <w:rsid w:val="00113DB7"/>
    <w:rsid w:val="00122601"/>
    <w:rsid w:val="001344C1"/>
    <w:rsid w:val="00140E6B"/>
    <w:rsid w:val="001462F6"/>
    <w:rsid w:val="001544CC"/>
    <w:rsid w:val="00157038"/>
    <w:rsid w:val="001A53BC"/>
    <w:rsid w:val="001B21C3"/>
    <w:rsid w:val="001B3C1A"/>
    <w:rsid w:val="001C7726"/>
    <w:rsid w:val="001D3EB3"/>
    <w:rsid w:val="001D49D7"/>
    <w:rsid w:val="001E1925"/>
    <w:rsid w:val="001E6986"/>
    <w:rsid w:val="00207886"/>
    <w:rsid w:val="00224644"/>
    <w:rsid w:val="002366E8"/>
    <w:rsid w:val="00260EAA"/>
    <w:rsid w:val="00266F7C"/>
    <w:rsid w:val="002B00BC"/>
    <w:rsid w:val="002B3158"/>
    <w:rsid w:val="002D6326"/>
    <w:rsid w:val="002F1ECF"/>
    <w:rsid w:val="00350BF4"/>
    <w:rsid w:val="003568C1"/>
    <w:rsid w:val="00384ADA"/>
    <w:rsid w:val="0039374B"/>
    <w:rsid w:val="00395AFA"/>
    <w:rsid w:val="003A6C8D"/>
    <w:rsid w:val="003B6198"/>
    <w:rsid w:val="003C6312"/>
    <w:rsid w:val="004029BC"/>
    <w:rsid w:val="0040429F"/>
    <w:rsid w:val="00404BFD"/>
    <w:rsid w:val="0041558E"/>
    <w:rsid w:val="00421318"/>
    <w:rsid w:val="00446A79"/>
    <w:rsid w:val="00466D61"/>
    <w:rsid w:val="0047435C"/>
    <w:rsid w:val="00476D73"/>
    <w:rsid w:val="00484A2E"/>
    <w:rsid w:val="004A0F7F"/>
    <w:rsid w:val="004B1422"/>
    <w:rsid w:val="004C0D84"/>
    <w:rsid w:val="004C27B4"/>
    <w:rsid w:val="004D44C8"/>
    <w:rsid w:val="004D4A8B"/>
    <w:rsid w:val="004F79C8"/>
    <w:rsid w:val="00500305"/>
    <w:rsid w:val="00503073"/>
    <w:rsid w:val="00503D6B"/>
    <w:rsid w:val="00535C2A"/>
    <w:rsid w:val="0054558F"/>
    <w:rsid w:val="00551F2B"/>
    <w:rsid w:val="00571B8A"/>
    <w:rsid w:val="00575050"/>
    <w:rsid w:val="00582446"/>
    <w:rsid w:val="00594EDA"/>
    <w:rsid w:val="005A6F26"/>
    <w:rsid w:val="005C6092"/>
    <w:rsid w:val="005D4329"/>
    <w:rsid w:val="005D5A00"/>
    <w:rsid w:val="005D5B9C"/>
    <w:rsid w:val="005E4684"/>
    <w:rsid w:val="005E6F70"/>
    <w:rsid w:val="00617239"/>
    <w:rsid w:val="00630336"/>
    <w:rsid w:val="006403D6"/>
    <w:rsid w:val="0064485D"/>
    <w:rsid w:val="0065467D"/>
    <w:rsid w:val="00660237"/>
    <w:rsid w:val="006758E9"/>
    <w:rsid w:val="0068158A"/>
    <w:rsid w:val="0069223A"/>
    <w:rsid w:val="0070121E"/>
    <w:rsid w:val="00710EE8"/>
    <w:rsid w:val="007153DE"/>
    <w:rsid w:val="00735E3C"/>
    <w:rsid w:val="007362EE"/>
    <w:rsid w:val="00745C0F"/>
    <w:rsid w:val="00784F54"/>
    <w:rsid w:val="007930AB"/>
    <w:rsid w:val="007A337F"/>
    <w:rsid w:val="007A5C13"/>
    <w:rsid w:val="007E0A26"/>
    <w:rsid w:val="007E6552"/>
    <w:rsid w:val="00813BF0"/>
    <w:rsid w:val="00840C59"/>
    <w:rsid w:val="0085510B"/>
    <w:rsid w:val="00860434"/>
    <w:rsid w:val="00864149"/>
    <w:rsid w:val="00870233"/>
    <w:rsid w:val="0087767B"/>
    <w:rsid w:val="00896C26"/>
    <w:rsid w:val="008976FF"/>
    <w:rsid w:val="008A158D"/>
    <w:rsid w:val="008B226E"/>
    <w:rsid w:val="008C152C"/>
    <w:rsid w:val="008C572A"/>
    <w:rsid w:val="008C6DA9"/>
    <w:rsid w:val="008D5F4A"/>
    <w:rsid w:val="00905A2E"/>
    <w:rsid w:val="00905A8C"/>
    <w:rsid w:val="009068F6"/>
    <w:rsid w:val="00923505"/>
    <w:rsid w:val="00924C05"/>
    <w:rsid w:val="00940497"/>
    <w:rsid w:val="00952031"/>
    <w:rsid w:val="009A2B58"/>
    <w:rsid w:val="009C3148"/>
    <w:rsid w:val="009C4366"/>
    <w:rsid w:val="009D145D"/>
    <w:rsid w:val="009D1CE4"/>
    <w:rsid w:val="009E6862"/>
    <w:rsid w:val="00A00304"/>
    <w:rsid w:val="00A227FA"/>
    <w:rsid w:val="00A232EC"/>
    <w:rsid w:val="00A265A6"/>
    <w:rsid w:val="00A35BCA"/>
    <w:rsid w:val="00A61BE8"/>
    <w:rsid w:val="00A86F82"/>
    <w:rsid w:val="00A87E7C"/>
    <w:rsid w:val="00AA5A66"/>
    <w:rsid w:val="00AB0F76"/>
    <w:rsid w:val="00AB772D"/>
    <w:rsid w:val="00AE1801"/>
    <w:rsid w:val="00AF0FEC"/>
    <w:rsid w:val="00AF381A"/>
    <w:rsid w:val="00B0036E"/>
    <w:rsid w:val="00B04435"/>
    <w:rsid w:val="00B10084"/>
    <w:rsid w:val="00B13CB9"/>
    <w:rsid w:val="00B66339"/>
    <w:rsid w:val="00B75ADE"/>
    <w:rsid w:val="00BC002B"/>
    <w:rsid w:val="00BC3328"/>
    <w:rsid w:val="00BD755C"/>
    <w:rsid w:val="00BE3858"/>
    <w:rsid w:val="00BF59A8"/>
    <w:rsid w:val="00C051EB"/>
    <w:rsid w:val="00C06B7F"/>
    <w:rsid w:val="00C06BDF"/>
    <w:rsid w:val="00C14437"/>
    <w:rsid w:val="00C20F17"/>
    <w:rsid w:val="00C365A6"/>
    <w:rsid w:val="00C41927"/>
    <w:rsid w:val="00C440FB"/>
    <w:rsid w:val="00C67E1D"/>
    <w:rsid w:val="00C71A69"/>
    <w:rsid w:val="00C855C5"/>
    <w:rsid w:val="00CA6460"/>
    <w:rsid w:val="00CB1ED7"/>
    <w:rsid w:val="00CC6E3B"/>
    <w:rsid w:val="00D166E7"/>
    <w:rsid w:val="00D27001"/>
    <w:rsid w:val="00D336EE"/>
    <w:rsid w:val="00D6544D"/>
    <w:rsid w:val="00D666CA"/>
    <w:rsid w:val="00D85779"/>
    <w:rsid w:val="00DA34CC"/>
    <w:rsid w:val="00DD0D58"/>
    <w:rsid w:val="00DD12ED"/>
    <w:rsid w:val="00DD5B08"/>
    <w:rsid w:val="00DD7AFE"/>
    <w:rsid w:val="00DE1A0F"/>
    <w:rsid w:val="00DE7A2A"/>
    <w:rsid w:val="00E07CDF"/>
    <w:rsid w:val="00E21938"/>
    <w:rsid w:val="00E45E97"/>
    <w:rsid w:val="00E65B1C"/>
    <w:rsid w:val="00E749BD"/>
    <w:rsid w:val="00E829B4"/>
    <w:rsid w:val="00E877AF"/>
    <w:rsid w:val="00E97C4D"/>
    <w:rsid w:val="00EA46FB"/>
    <w:rsid w:val="00EA78C8"/>
    <w:rsid w:val="00EC15C7"/>
    <w:rsid w:val="00EC1B2A"/>
    <w:rsid w:val="00EE054B"/>
    <w:rsid w:val="00EF7AEB"/>
    <w:rsid w:val="00F0282E"/>
    <w:rsid w:val="00F0510D"/>
    <w:rsid w:val="00F1116C"/>
    <w:rsid w:val="00F167C8"/>
    <w:rsid w:val="00F1781B"/>
    <w:rsid w:val="00F2471C"/>
    <w:rsid w:val="00F2684C"/>
    <w:rsid w:val="00F45150"/>
    <w:rsid w:val="00F61707"/>
    <w:rsid w:val="00F63A88"/>
    <w:rsid w:val="00F935C6"/>
    <w:rsid w:val="00F96460"/>
    <w:rsid w:val="00FA56CE"/>
    <w:rsid w:val="00FA715D"/>
    <w:rsid w:val="00FB351D"/>
    <w:rsid w:val="00FE2BAA"/>
    <w:rsid w:val="00FF69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A03DE1B"/>
  <w15:docId w15:val="{6ACA34BF-FD88-4BFA-A28A-EB10220B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E3B"/>
    <w:pPr>
      <w:spacing w:line="360" w:lineRule="atLeast"/>
      <w:jc w:val="both"/>
    </w:pPr>
    <w:rPr>
      <w:sz w:val="22"/>
    </w:rPr>
  </w:style>
  <w:style w:type="paragraph" w:styleId="Heading1">
    <w:name w:val="heading 1"/>
    <w:basedOn w:val="Normal"/>
    <w:next w:val="Normal"/>
    <w:link w:val="Heading1Char"/>
    <w:uiPriority w:val="1"/>
    <w:qFormat/>
    <w:rsid w:val="004D4A8B"/>
    <w:pPr>
      <w:keepNext/>
      <w:keepLines/>
      <w:pageBreakBefore/>
      <w:jc w:val="left"/>
      <w:outlineLvl w:val="0"/>
    </w:pPr>
    <w:rPr>
      <w:rFonts w:ascii="Source Sans Pro" w:eastAsiaTheme="majorEastAsia" w:hAnsi="Source Sans Pro" w:cstheme="majorBidi"/>
      <w:bCs/>
      <w:color w:val="A21C26"/>
      <w:sz w:val="56"/>
      <w:szCs w:val="28"/>
    </w:rPr>
  </w:style>
  <w:style w:type="paragraph" w:styleId="Heading2">
    <w:name w:val="heading 2"/>
    <w:basedOn w:val="Normal"/>
    <w:next w:val="Normal"/>
    <w:link w:val="Heading2Char"/>
    <w:uiPriority w:val="1"/>
    <w:qFormat/>
    <w:rsid w:val="004D4A8B"/>
    <w:pPr>
      <w:keepNext/>
      <w:keepLines/>
      <w:spacing w:before="200"/>
      <w:jc w:val="left"/>
      <w:outlineLvl w:val="1"/>
    </w:pPr>
    <w:rPr>
      <w:rFonts w:ascii="Source Sans Pro" w:eastAsiaTheme="majorEastAsia" w:hAnsi="Source Sans Pro" w:cstheme="majorBidi"/>
      <w:b/>
      <w:bCs/>
      <w:sz w:val="26"/>
      <w:szCs w:val="26"/>
    </w:rPr>
  </w:style>
  <w:style w:type="paragraph" w:styleId="Heading3">
    <w:name w:val="heading 3"/>
    <w:basedOn w:val="Normal"/>
    <w:next w:val="Normal"/>
    <w:link w:val="Heading3Char"/>
    <w:uiPriority w:val="1"/>
    <w:qFormat/>
    <w:rsid w:val="004D4A8B"/>
    <w:pPr>
      <w:keepNext/>
      <w:keepLines/>
      <w:spacing w:before="200"/>
      <w:jc w:val="left"/>
      <w:outlineLvl w:val="2"/>
    </w:pPr>
    <w:rPr>
      <w:rFonts w:ascii="Source Sans Pro" w:eastAsiaTheme="majorEastAsia" w:hAnsi="Source Sans Pro" w:cstheme="majorBidi"/>
      <w:b/>
      <w:bCs/>
      <w:color w:val="56565A"/>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3"/>
      </w:numPr>
      <w:ind w:left="426" w:hanging="426"/>
    </w:pPr>
  </w:style>
  <w:style w:type="paragraph" w:customStyle="1" w:styleId="MainHeadingCover">
    <w:name w:val="Main Heading Cover"/>
    <w:basedOn w:val="Normal"/>
    <w:uiPriority w:val="1"/>
    <w:rsid w:val="004D4A8B"/>
    <w:pPr>
      <w:spacing w:line="720" w:lineRule="exact"/>
      <w:jc w:val="lef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jc w:val="left"/>
    </w:pPr>
    <w:rPr>
      <w:rFonts w:ascii="Source Sans Pro" w:hAnsi="Source Sans Pro"/>
      <w:color w:val="56565A"/>
    </w:rPr>
  </w:style>
  <w:style w:type="character" w:customStyle="1" w:styleId="Heading1Char">
    <w:name w:val="Heading 1 Char"/>
    <w:basedOn w:val="DefaultParagraphFont"/>
    <w:link w:val="Heading1"/>
    <w:uiPriority w:val="1"/>
    <w:rsid w:val="001D3EB3"/>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1"/>
    <w:rsid w:val="001D3EB3"/>
    <w:rPr>
      <w:rFonts w:ascii="Source Sans Pro" w:eastAsiaTheme="majorEastAsia" w:hAnsi="Source Sans Pro" w:cstheme="majorBidi"/>
      <w:b/>
      <w:bCs/>
      <w:sz w:val="26"/>
      <w:szCs w:val="26"/>
    </w:rPr>
  </w:style>
  <w:style w:type="character" w:customStyle="1" w:styleId="Heading3Char">
    <w:name w:val="Heading 3 Char"/>
    <w:basedOn w:val="DefaultParagraphFont"/>
    <w:link w:val="Heading3"/>
    <w:uiPriority w:val="1"/>
    <w:rsid w:val="001D3EB3"/>
    <w:rPr>
      <w:rFonts w:ascii="Source Sans Pro" w:eastAsiaTheme="majorEastAsia" w:hAnsi="Source Sans Pro" w:cstheme="majorBidi"/>
      <w:b/>
      <w:bCs/>
      <w:color w:val="56565A"/>
      <w:sz w:val="22"/>
    </w:rPr>
  </w:style>
  <w:style w:type="paragraph" w:customStyle="1" w:styleId="Bullets">
    <w:name w:val="Bullets"/>
    <w:basedOn w:val="Bodycopy"/>
    <w:uiPriority w:val="1"/>
    <w:qFormat/>
    <w:rsid w:val="004D4A8B"/>
    <w:pPr>
      <w:numPr>
        <w:numId w:val="2"/>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qFormat/>
    <w:rsid w:val="00C14437"/>
    <w:pPr>
      <w:ind w:left="720"/>
      <w:contextualSpacing/>
    </w:pPr>
  </w:style>
  <w:style w:type="paragraph" w:customStyle="1" w:styleId="Body">
    <w:name w:val="Body"/>
    <w:basedOn w:val="Normal"/>
    <w:uiPriority w:val="99"/>
    <w:rsid w:val="009068F6"/>
    <w:pPr>
      <w:suppressAutoHyphens/>
      <w:autoSpaceDE w:val="0"/>
      <w:autoSpaceDN w:val="0"/>
      <w:adjustRightInd w:val="0"/>
      <w:spacing w:after="113" w:line="250" w:lineRule="atLeast"/>
      <w:jc w:val="left"/>
      <w:textAlignment w:val="center"/>
    </w:pPr>
    <w:rPr>
      <w:rFonts w:ascii="Source Sans Pro (OTF) Light" w:hAnsi="Source Sans Pro (OTF) Light" w:cs="Source Sans Pro (OTF) Light"/>
      <w:color w:val="000000"/>
      <w:spacing w:val="-2"/>
      <w:sz w:val="19"/>
      <w:szCs w:val="19"/>
      <w:lang w:val="en-US"/>
    </w:rPr>
  </w:style>
  <w:style w:type="character" w:customStyle="1" w:styleId="Bold">
    <w:name w:val="Bold"/>
    <w:uiPriority w:val="99"/>
    <w:rsid w:val="009068F6"/>
    <w:rPr>
      <w:b/>
      <w:bCs/>
      <w:color w:val="000000"/>
    </w:rPr>
  </w:style>
  <w:style w:type="character" w:customStyle="1" w:styleId="ListParagraphChar">
    <w:name w:val="List Paragraph Char"/>
    <w:basedOn w:val="DefaultParagraphFont"/>
    <w:link w:val="ListParagraph"/>
    <w:rsid w:val="00C855C5"/>
    <w:rPr>
      <w:sz w:val="22"/>
    </w:rPr>
  </w:style>
  <w:style w:type="paragraph" w:customStyle="1" w:styleId="H2">
    <w:name w:val="H2"/>
    <w:basedOn w:val="Normal"/>
    <w:qFormat/>
    <w:rsid w:val="00940497"/>
    <w:pPr>
      <w:spacing w:before="240" w:after="120" w:line="440" w:lineRule="exact"/>
      <w:jc w:val="left"/>
    </w:pPr>
    <w:rPr>
      <w:rFonts w:ascii="Source Sans Pro" w:eastAsia="Times New Roman" w:hAnsi="Source Sans Pro" w:cs="Times New Roman"/>
      <w:color w:val="A21C26"/>
      <w:sz w:val="40"/>
      <w:szCs w:val="22"/>
      <w:lang w:val="en-US"/>
    </w:rPr>
  </w:style>
  <w:style w:type="paragraph" w:customStyle="1" w:styleId="Bodytext">
    <w:name w:val="Bodytext"/>
    <w:basedOn w:val="Normal"/>
    <w:link w:val="BodytextChar"/>
    <w:qFormat/>
    <w:rsid w:val="002B3158"/>
    <w:pPr>
      <w:spacing w:before="120" w:after="240" w:line="240" w:lineRule="auto"/>
      <w:jc w:val="left"/>
    </w:pPr>
    <w:rPr>
      <w:rFonts w:ascii="Source Sans Pro" w:eastAsia="Times New Roman" w:hAnsi="Source Sans Pro" w:cs="Times New Roman"/>
      <w:color w:val="575756"/>
      <w:szCs w:val="22"/>
      <w:lang w:val="en-US"/>
    </w:rPr>
  </w:style>
  <w:style w:type="paragraph" w:customStyle="1" w:styleId="Bullet1">
    <w:name w:val="Bullet1"/>
    <w:basedOn w:val="Normal"/>
    <w:link w:val="Bullet1Char"/>
    <w:qFormat/>
    <w:rsid w:val="002B3158"/>
    <w:pPr>
      <w:numPr>
        <w:numId w:val="6"/>
      </w:numPr>
      <w:tabs>
        <w:tab w:val="left" w:pos="426"/>
      </w:tabs>
      <w:spacing w:before="120" w:after="60" w:line="312" w:lineRule="auto"/>
      <w:jc w:val="left"/>
    </w:pPr>
    <w:rPr>
      <w:rFonts w:ascii="Source Sans Pro" w:eastAsia="Times New Roman" w:hAnsi="Source Sans Pro" w:cs="Times New Roman"/>
      <w:color w:val="575756"/>
      <w:szCs w:val="20"/>
      <w:lang w:val="en-US"/>
    </w:rPr>
  </w:style>
  <w:style w:type="paragraph" w:customStyle="1" w:styleId="Subheading">
    <w:name w:val="Subheading"/>
    <w:basedOn w:val="Normal"/>
    <w:qFormat/>
    <w:rsid w:val="002B3158"/>
    <w:pPr>
      <w:spacing w:before="100" w:after="100" w:line="240" w:lineRule="exact"/>
      <w:jc w:val="left"/>
    </w:pPr>
    <w:rPr>
      <w:rFonts w:ascii="Source Sans Pro" w:eastAsia="Times New Roman" w:hAnsi="Source Sans Pro" w:cs="Times New Roman"/>
      <w:b/>
      <w:color w:val="C10E02"/>
      <w:sz w:val="20"/>
      <w:szCs w:val="22"/>
      <w:lang w:val="en-US"/>
    </w:rPr>
  </w:style>
  <w:style w:type="paragraph" w:customStyle="1" w:styleId="GuideStyle">
    <w:name w:val="Guide Style"/>
    <w:basedOn w:val="Normal"/>
    <w:link w:val="GuideStyleChar"/>
    <w:qFormat/>
    <w:rsid w:val="002B3158"/>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Source Sans Pro" w:eastAsia="Times New Roman" w:hAnsi="Source Sans Pro" w:cs="Times New Roman"/>
      <w:szCs w:val="20"/>
    </w:rPr>
  </w:style>
  <w:style w:type="character" w:customStyle="1" w:styleId="BodytextChar">
    <w:name w:val="Bodytext Char"/>
    <w:basedOn w:val="DefaultParagraphFont"/>
    <w:link w:val="Bodytext"/>
    <w:rsid w:val="002B3158"/>
    <w:rPr>
      <w:rFonts w:ascii="Source Sans Pro" w:eastAsia="Times New Roman" w:hAnsi="Source Sans Pro" w:cs="Times New Roman"/>
      <w:color w:val="575756"/>
      <w:sz w:val="22"/>
      <w:szCs w:val="22"/>
      <w:lang w:val="en-US"/>
    </w:rPr>
  </w:style>
  <w:style w:type="character" w:customStyle="1" w:styleId="GuideStyleChar">
    <w:name w:val="Guide Style Char"/>
    <w:basedOn w:val="DefaultParagraphFont"/>
    <w:link w:val="GuideStyle"/>
    <w:rsid w:val="002B3158"/>
    <w:rPr>
      <w:rFonts w:ascii="Source Sans Pro" w:eastAsia="Times New Roman" w:hAnsi="Source Sans Pro" w:cs="Times New Roman"/>
      <w:sz w:val="22"/>
      <w:szCs w:val="20"/>
    </w:rPr>
  </w:style>
  <w:style w:type="character" w:customStyle="1" w:styleId="Bullet1Char">
    <w:name w:val="Bullet1 Char"/>
    <w:basedOn w:val="BodytextChar"/>
    <w:link w:val="Bullet1"/>
    <w:rsid w:val="002B3158"/>
    <w:rPr>
      <w:rFonts w:ascii="Source Sans Pro" w:eastAsia="Times New Roman" w:hAnsi="Source Sans Pro" w:cs="Times New Roman"/>
      <w:color w:val="575756"/>
      <w:sz w:val="22"/>
      <w:szCs w:val="20"/>
      <w:lang w:val="en-US"/>
    </w:rPr>
  </w:style>
  <w:style w:type="table" w:styleId="TableGridLight">
    <w:name w:val="Grid Table Light"/>
    <w:basedOn w:val="TableNormal"/>
    <w:uiPriority w:val="40"/>
    <w:rsid w:val="002B3158"/>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FE2BAA"/>
    <w:pPr>
      <w:spacing w:line="240" w:lineRule="auto"/>
    </w:pPr>
    <w:rPr>
      <w:sz w:val="20"/>
      <w:szCs w:val="20"/>
    </w:rPr>
  </w:style>
  <w:style w:type="character" w:customStyle="1" w:styleId="FootnoteTextChar">
    <w:name w:val="Footnote Text Char"/>
    <w:basedOn w:val="DefaultParagraphFont"/>
    <w:link w:val="FootnoteText"/>
    <w:uiPriority w:val="99"/>
    <w:semiHidden/>
    <w:rsid w:val="00FE2BAA"/>
    <w:rPr>
      <w:sz w:val="20"/>
      <w:szCs w:val="20"/>
    </w:rPr>
  </w:style>
  <w:style w:type="character" w:styleId="FootnoteReference">
    <w:name w:val="footnote reference"/>
    <w:basedOn w:val="DefaultParagraphFont"/>
    <w:uiPriority w:val="99"/>
    <w:semiHidden/>
    <w:unhideWhenUsed/>
    <w:rsid w:val="00FE2BAA"/>
    <w:rPr>
      <w:vertAlign w:val="superscript"/>
    </w:rPr>
  </w:style>
  <w:style w:type="character" w:styleId="CommentReference">
    <w:name w:val="annotation reference"/>
    <w:basedOn w:val="DefaultParagraphFont"/>
    <w:uiPriority w:val="99"/>
    <w:semiHidden/>
    <w:unhideWhenUsed/>
    <w:rsid w:val="008B226E"/>
    <w:rPr>
      <w:sz w:val="16"/>
      <w:szCs w:val="16"/>
    </w:rPr>
  </w:style>
  <w:style w:type="paragraph" w:styleId="CommentText">
    <w:name w:val="annotation text"/>
    <w:basedOn w:val="Normal"/>
    <w:link w:val="CommentTextChar"/>
    <w:uiPriority w:val="99"/>
    <w:semiHidden/>
    <w:unhideWhenUsed/>
    <w:rsid w:val="008B226E"/>
    <w:pPr>
      <w:spacing w:line="240" w:lineRule="auto"/>
    </w:pPr>
    <w:rPr>
      <w:sz w:val="20"/>
      <w:szCs w:val="20"/>
    </w:rPr>
  </w:style>
  <w:style w:type="character" w:customStyle="1" w:styleId="CommentTextChar">
    <w:name w:val="Comment Text Char"/>
    <w:basedOn w:val="DefaultParagraphFont"/>
    <w:link w:val="CommentText"/>
    <w:uiPriority w:val="99"/>
    <w:semiHidden/>
    <w:rsid w:val="008B226E"/>
    <w:rPr>
      <w:sz w:val="20"/>
      <w:szCs w:val="20"/>
    </w:rPr>
  </w:style>
  <w:style w:type="paragraph" w:styleId="CommentSubject">
    <w:name w:val="annotation subject"/>
    <w:basedOn w:val="CommentText"/>
    <w:next w:val="CommentText"/>
    <w:link w:val="CommentSubjectChar"/>
    <w:uiPriority w:val="99"/>
    <w:semiHidden/>
    <w:unhideWhenUsed/>
    <w:rsid w:val="008B226E"/>
    <w:rPr>
      <w:b/>
      <w:bCs/>
    </w:rPr>
  </w:style>
  <w:style w:type="character" w:customStyle="1" w:styleId="CommentSubjectChar">
    <w:name w:val="Comment Subject Char"/>
    <w:basedOn w:val="CommentTextChar"/>
    <w:link w:val="CommentSubject"/>
    <w:uiPriority w:val="99"/>
    <w:semiHidden/>
    <w:rsid w:val="008B226E"/>
    <w:rPr>
      <w:b/>
      <w:bCs/>
      <w:sz w:val="20"/>
      <w:szCs w:val="20"/>
    </w:rPr>
  </w:style>
  <w:style w:type="paragraph" w:styleId="Revision">
    <w:name w:val="Revision"/>
    <w:hidden/>
    <w:uiPriority w:val="99"/>
    <w:semiHidden/>
    <w:rsid w:val="008B22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194316">
      <w:bodyDiv w:val="1"/>
      <w:marLeft w:val="0"/>
      <w:marRight w:val="0"/>
      <w:marTop w:val="0"/>
      <w:marBottom w:val="0"/>
      <w:divBdr>
        <w:top w:val="none" w:sz="0" w:space="0" w:color="auto"/>
        <w:left w:val="none" w:sz="0" w:space="0" w:color="auto"/>
        <w:bottom w:val="none" w:sz="0" w:space="0" w:color="auto"/>
        <w:right w:val="none" w:sz="0" w:space="0" w:color="auto"/>
      </w:divBdr>
    </w:div>
    <w:div w:id="1395811265">
      <w:bodyDiv w:val="1"/>
      <w:marLeft w:val="0"/>
      <w:marRight w:val="0"/>
      <w:marTop w:val="0"/>
      <w:marBottom w:val="0"/>
      <w:divBdr>
        <w:top w:val="none" w:sz="0" w:space="0" w:color="auto"/>
        <w:left w:val="none" w:sz="0" w:space="0" w:color="auto"/>
        <w:bottom w:val="none" w:sz="0" w:space="0" w:color="auto"/>
        <w:right w:val="none" w:sz="0" w:space="0" w:color="auto"/>
      </w:divBdr>
    </w:div>
    <w:div w:id="1517695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hyperlink" Target="mailto:info@rtwsa.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wsa.com/__data/assets/word_doc/0008/68246/Self-insured-actuary-reports-and-financial-guarantees-guideline.docx" TargetMode="External"/><Relationship Id="rId20" Type="http://schemas.openxmlformats.org/officeDocument/2006/relationships/diagramColors" Target="diagrams/colors1.xml"/><Relationship Id="rId29" Type="http://schemas.openxmlformats.org/officeDocument/2006/relationships/hyperlink" Target="mailto:info@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2.png"/><Relationship Id="rId32" Type="http://schemas.openxmlformats.org/officeDocument/2006/relationships/hyperlink" Target="mailto:info@rtwsa.com" TargetMode="External"/><Relationship Id="rId5" Type="http://schemas.openxmlformats.org/officeDocument/2006/relationships/webSettings" Target="webSettings.xml"/><Relationship Id="rId15" Type="http://schemas.openxmlformats.org/officeDocument/2006/relationships/hyperlink" Target="mailto:PremiumSpecialist@rtwsa.com" TargetMode="Externa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hyperlink" Target="mailto:info@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5.xml"/><Relationship Id="rId30"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Reports\Report%20template%20option%202%20-%20A4.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7341A7-B837-4FB6-AFAD-C7CC4305BC75}" type="doc">
      <dgm:prSet loTypeId="urn:microsoft.com/office/officeart/2005/8/layout/equation1" loCatId="process" qsTypeId="urn:microsoft.com/office/officeart/2005/8/quickstyle/3d1" qsCatId="3D" csTypeId="urn:microsoft.com/office/officeart/2005/8/colors/colorful2" csCatId="colorful" phldr="1"/>
      <dgm:spPr/>
    </dgm:pt>
    <dgm:pt modelId="{2FC7FBF8-347F-4DA6-A797-A02E7728FEBE}">
      <dgm:prSet phldrT="[Text]">
        <dgm:style>
          <a:lnRef idx="1">
            <a:schemeClr val="accent4"/>
          </a:lnRef>
          <a:fillRef idx="2">
            <a:schemeClr val="accent4"/>
          </a:fillRef>
          <a:effectRef idx="1">
            <a:schemeClr val="accent4"/>
          </a:effectRef>
          <a:fontRef idx="minor">
            <a:schemeClr val="dk1"/>
          </a:fontRef>
        </dgm:style>
      </dgm:prSet>
      <dgm:spPr>
        <a:xfrm>
          <a:off x="307288" y="315"/>
          <a:ext cx="1086296" cy="1086296"/>
        </a:xfrm>
        <a:solidFill>
          <a:schemeClr val="accent3">
            <a:lumMod val="40000"/>
            <a:lumOff val="60000"/>
          </a:schemeClr>
        </a:solidFill>
      </dgm:spPr>
      <dgm:t>
        <a:bodyPr/>
        <a:lstStyle/>
        <a:p>
          <a:r>
            <a:rPr lang="en-AU">
              <a:latin typeface="Calibri"/>
              <a:ea typeface="+mn-ea"/>
              <a:cs typeface="+mn-cs"/>
            </a:rPr>
            <a:t>NPP</a:t>
          </a:r>
        </a:p>
      </dgm:t>
    </dgm:pt>
    <dgm:pt modelId="{E6B9F71F-E749-4ABA-9B65-3C3591EE8110}" type="parTrans" cxnId="{2C420CDF-AF2A-4B0A-943B-1F967F3DC9BB}">
      <dgm:prSet/>
      <dgm:spPr/>
      <dgm:t>
        <a:bodyPr/>
        <a:lstStyle/>
        <a:p>
          <a:endParaRPr lang="en-AU"/>
        </a:p>
      </dgm:t>
    </dgm:pt>
    <dgm:pt modelId="{FCA1E65B-7A5F-4B47-A04B-574C1F30B430}" type="sibTrans" cxnId="{2C420CDF-AF2A-4B0A-943B-1F967F3DC9BB}">
      <dgm:prSet>
        <dgm:style>
          <a:lnRef idx="1">
            <a:schemeClr val="accent2"/>
          </a:lnRef>
          <a:fillRef idx="2">
            <a:schemeClr val="accent2"/>
          </a:fillRef>
          <a:effectRef idx="1">
            <a:schemeClr val="accent2"/>
          </a:effectRef>
          <a:fontRef idx="minor">
            <a:schemeClr val="dk1"/>
          </a:fontRef>
        </dgm:style>
      </dgm:prSet>
      <dgm:spPr>
        <a:xfrm>
          <a:off x="3366813" y="297397"/>
          <a:ext cx="630051" cy="630051"/>
        </a:xfrm>
        <a:solidFill>
          <a:schemeClr val="tx2">
            <a:lumMod val="75000"/>
          </a:schemeClr>
        </a:solidFill>
      </dgm:spPr>
      <dgm:t>
        <a:bodyPr/>
        <a:lstStyle/>
        <a:p>
          <a:endParaRPr lang="en-AU">
            <a:solidFill>
              <a:sysClr val="window" lastClr="FFFFFF"/>
            </a:solidFill>
            <a:latin typeface="Calibri"/>
            <a:ea typeface="+mn-ea"/>
            <a:cs typeface="+mn-cs"/>
          </a:endParaRPr>
        </a:p>
      </dgm:t>
    </dgm:pt>
    <dgm:pt modelId="{86246E40-2B04-4E4B-9A72-288D3DFE42D3}">
      <dgm:prSet phldrT="[Text]">
        <dgm:style>
          <a:lnRef idx="1">
            <a:schemeClr val="accent4"/>
          </a:lnRef>
          <a:fillRef idx="2">
            <a:schemeClr val="accent4"/>
          </a:fillRef>
          <a:effectRef idx="1">
            <a:schemeClr val="accent4"/>
          </a:effectRef>
          <a:fontRef idx="minor">
            <a:schemeClr val="dk1"/>
          </a:fontRef>
        </dgm:style>
      </dgm:prSet>
      <dgm:spPr>
        <a:xfrm>
          <a:off x="2200051" y="315"/>
          <a:ext cx="1086296" cy="1086296"/>
        </a:xfrm>
        <a:solidFill>
          <a:schemeClr val="accent3">
            <a:lumMod val="40000"/>
            <a:lumOff val="60000"/>
          </a:schemeClr>
        </a:solidFill>
      </dgm:spPr>
      <dgm:t>
        <a:bodyPr/>
        <a:lstStyle/>
        <a:p>
          <a:r>
            <a:rPr lang="en-AU">
              <a:latin typeface="Calibri"/>
              <a:ea typeface="+mn-ea"/>
              <a:cs typeface="+mn-cs"/>
            </a:rPr>
            <a:t>Premium Paid</a:t>
          </a:r>
        </a:p>
      </dgm:t>
    </dgm:pt>
    <dgm:pt modelId="{762ADEE5-EFEA-446B-85F4-A519FFDEE869}" type="parTrans" cxnId="{812E5D8F-8F39-48D3-A18D-D278922D5CDE}">
      <dgm:prSet/>
      <dgm:spPr/>
      <dgm:t>
        <a:bodyPr/>
        <a:lstStyle/>
        <a:p>
          <a:endParaRPr lang="en-AU"/>
        </a:p>
      </dgm:t>
    </dgm:pt>
    <dgm:pt modelId="{387AD8EC-07E8-4659-8D79-9DB3BFE40BDE}" type="sibTrans" cxnId="{812E5D8F-8F39-48D3-A18D-D278922D5CDE}">
      <dgm:prSet>
        <dgm:style>
          <a:lnRef idx="1">
            <a:schemeClr val="accent1"/>
          </a:lnRef>
          <a:fillRef idx="2">
            <a:schemeClr val="accent1"/>
          </a:fillRef>
          <a:effectRef idx="1">
            <a:schemeClr val="accent1"/>
          </a:effectRef>
          <a:fontRef idx="minor">
            <a:schemeClr val="dk1"/>
          </a:fontRef>
        </dgm:style>
      </dgm:prSet>
      <dgm:spPr>
        <a:xfrm>
          <a:off x="1497202" y="251428"/>
          <a:ext cx="630051" cy="630051"/>
        </a:xfrm>
        <a:solidFill>
          <a:schemeClr val="tx2">
            <a:lumMod val="75000"/>
          </a:schemeClr>
        </a:solidFill>
      </dgm:spPr>
      <dgm:t>
        <a:bodyPr/>
        <a:lstStyle/>
        <a:p>
          <a:endParaRPr lang="en-AU">
            <a:solidFill>
              <a:sysClr val="window" lastClr="FFFFFF"/>
            </a:solidFill>
            <a:latin typeface="Calibri"/>
            <a:ea typeface="+mn-ea"/>
            <a:cs typeface="+mn-cs"/>
          </a:endParaRPr>
        </a:p>
      </dgm:t>
    </dgm:pt>
    <dgm:pt modelId="{F03AF7DE-49BD-4799-81AF-8979A027A51A}">
      <dgm:prSet phldrT="[Text]">
        <dgm:style>
          <a:lnRef idx="1">
            <a:schemeClr val="accent4"/>
          </a:lnRef>
          <a:fillRef idx="2">
            <a:schemeClr val="accent4"/>
          </a:fillRef>
          <a:effectRef idx="1">
            <a:schemeClr val="accent4"/>
          </a:effectRef>
          <a:fontRef idx="minor">
            <a:schemeClr val="dk1"/>
          </a:fontRef>
        </dgm:style>
      </dgm:prSet>
      <dgm:spPr>
        <a:xfrm>
          <a:off x="4092814" y="315"/>
          <a:ext cx="1086296" cy="1086296"/>
        </a:xfrm>
        <a:solidFill>
          <a:schemeClr val="accent3">
            <a:lumMod val="40000"/>
            <a:lumOff val="60000"/>
          </a:schemeClr>
        </a:solidFill>
      </dgm:spPr>
      <dgm:t>
        <a:bodyPr/>
        <a:lstStyle/>
        <a:p>
          <a:r>
            <a:rPr lang="en-AU">
              <a:latin typeface="Calibri"/>
              <a:ea typeface="+mn-ea"/>
              <a:cs typeface="+mn-cs"/>
            </a:rPr>
            <a:t>Claims Costs Paid</a:t>
          </a:r>
        </a:p>
      </dgm:t>
    </dgm:pt>
    <dgm:pt modelId="{B5E178DD-44F5-42AC-8CC4-6C57C5A1B38D}" type="parTrans" cxnId="{029F239D-ED85-4BCB-B462-5DCE774E0C26}">
      <dgm:prSet/>
      <dgm:spPr/>
      <dgm:t>
        <a:bodyPr/>
        <a:lstStyle/>
        <a:p>
          <a:endParaRPr lang="en-AU"/>
        </a:p>
      </dgm:t>
    </dgm:pt>
    <dgm:pt modelId="{A78DF8D7-EA88-4677-8A49-4809F0D78CB2}" type="sibTrans" cxnId="{029F239D-ED85-4BCB-B462-5DCE774E0C26}">
      <dgm:prSet/>
      <dgm:spPr/>
      <dgm:t>
        <a:bodyPr/>
        <a:lstStyle/>
        <a:p>
          <a:endParaRPr lang="en-AU"/>
        </a:p>
      </dgm:t>
    </dgm:pt>
    <dgm:pt modelId="{B975D617-6AEE-47C3-9F03-5E109DDA7B98}" type="pres">
      <dgm:prSet presAssocID="{117341A7-B837-4FB6-AFAD-C7CC4305BC75}" presName="linearFlow" presStyleCnt="0">
        <dgm:presLayoutVars>
          <dgm:dir/>
          <dgm:resizeHandles val="exact"/>
        </dgm:presLayoutVars>
      </dgm:prSet>
      <dgm:spPr/>
    </dgm:pt>
    <dgm:pt modelId="{79F32F72-DF7E-447E-A442-FFF73A5BFB72}" type="pres">
      <dgm:prSet presAssocID="{2FC7FBF8-347F-4DA6-A797-A02E7728FEBE}" presName="node" presStyleLbl="node1" presStyleIdx="0" presStyleCnt="3">
        <dgm:presLayoutVars>
          <dgm:bulletEnabled val="1"/>
        </dgm:presLayoutVars>
      </dgm:prSet>
      <dgm:spPr>
        <a:prstGeom prst="ellipse">
          <a:avLst/>
        </a:prstGeom>
      </dgm:spPr>
      <dgm:t>
        <a:bodyPr/>
        <a:lstStyle/>
        <a:p>
          <a:endParaRPr lang="en-AU"/>
        </a:p>
      </dgm:t>
    </dgm:pt>
    <dgm:pt modelId="{CF807B33-2395-42CF-9282-C56CCF3AEBA4}" type="pres">
      <dgm:prSet presAssocID="{FCA1E65B-7A5F-4B47-A04B-574C1F30B430}" presName="spacerL" presStyleCnt="0"/>
      <dgm:spPr/>
    </dgm:pt>
    <dgm:pt modelId="{5FF4A2B6-462D-4A87-9353-8D2E4246C0F6}" type="pres">
      <dgm:prSet presAssocID="{FCA1E65B-7A5F-4B47-A04B-574C1F30B430}" presName="sibTrans" presStyleLbl="sibTrans2D1" presStyleIdx="0" presStyleCnt="2" custLinFactX="257185" custLinFactNeighborX="300000" custLinFactNeighborY="10945"/>
      <dgm:spPr>
        <a:prstGeom prst="mathMinus">
          <a:avLst/>
        </a:prstGeom>
      </dgm:spPr>
      <dgm:t>
        <a:bodyPr/>
        <a:lstStyle/>
        <a:p>
          <a:endParaRPr lang="en-AU"/>
        </a:p>
      </dgm:t>
    </dgm:pt>
    <dgm:pt modelId="{B0E4A3BD-C099-476E-8BDD-6493A38EC7E9}" type="pres">
      <dgm:prSet presAssocID="{FCA1E65B-7A5F-4B47-A04B-574C1F30B430}" presName="spacerR" presStyleCnt="0"/>
      <dgm:spPr/>
    </dgm:pt>
    <dgm:pt modelId="{0EE07546-C2F6-494D-ABB8-556723229528}" type="pres">
      <dgm:prSet presAssocID="{86246E40-2B04-4E4B-9A72-288D3DFE42D3}" presName="node" presStyleLbl="node1" presStyleIdx="1" presStyleCnt="3">
        <dgm:presLayoutVars>
          <dgm:bulletEnabled val="1"/>
        </dgm:presLayoutVars>
      </dgm:prSet>
      <dgm:spPr>
        <a:prstGeom prst="ellipse">
          <a:avLst/>
        </a:prstGeom>
      </dgm:spPr>
      <dgm:t>
        <a:bodyPr/>
        <a:lstStyle/>
        <a:p>
          <a:endParaRPr lang="en-AU"/>
        </a:p>
      </dgm:t>
    </dgm:pt>
    <dgm:pt modelId="{67612911-913E-4489-8332-676C0C35B88C}" type="pres">
      <dgm:prSet presAssocID="{387AD8EC-07E8-4659-8D79-9DB3BFE40BDE}" presName="spacerL" presStyleCnt="0"/>
      <dgm:spPr/>
    </dgm:pt>
    <dgm:pt modelId="{45FEA5D8-796B-4561-A106-7CF058F9C619}" type="pres">
      <dgm:prSet presAssocID="{387AD8EC-07E8-4659-8D79-9DB3BFE40BDE}" presName="sibTrans" presStyleLbl="sibTrans2D1" presStyleIdx="1" presStyleCnt="2" custLinFactX="-255968" custLinFactNeighborX="-300000" custLinFactNeighborY="3649"/>
      <dgm:spPr>
        <a:prstGeom prst="mathEqual">
          <a:avLst/>
        </a:prstGeom>
      </dgm:spPr>
      <dgm:t>
        <a:bodyPr/>
        <a:lstStyle/>
        <a:p>
          <a:endParaRPr lang="en-AU"/>
        </a:p>
      </dgm:t>
    </dgm:pt>
    <dgm:pt modelId="{0517567F-9FA8-45A2-B5AA-43D00A8C7079}" type="pres">
      <dgm:prSet presAssocID="{387AD8EC-07E8-4659-8D79-9DB3BFE40BDE}" presName="spacerR" presStyleCnt="0"/>
      <dgm:spPr/>
    </dgm:pt>
    <dgm:pt modelId="{2CAED200-F67D-4F4E-842B-BDF4738A291C}" type="pres">
      <dgm:prSet presAssocID="{F03AF7DE-49BD-4799-81AF-8979A027A51A}" presName="node" presStyleLbl="node1" presStyleIdx="2" presStyleCnt="3">
        <dgm:presLayoutVars>
          <dgm:bulletEnabled val="1"/>
        </dgm:presLayoutVars>
      </dgm:prSet>
      <dgm:spPr>
        <a:prstGeom prst="ellipse">
          <a:avLst/>
        </a:prstGeom>
      </dgm:spPr>
      <dgm:t>
        <a:bodyPr/>
        <a:lstStyle/>
        <a:p>
          <a:endParaRPr lang="en-AU"/>
        </a:p>
      </dgm:t>
    </dgm:pt>
  </dgm:ptLst>
  <dgm:cxnLst>
    <dgm:cxn modelId="{87689BCE-4497-4B2C-B8EB-B01808799E5E}" type="presOf" srcId="{2FC7FBF8-347F-4DA6-A797-A02E7728FEBE}" destId="{79F32F72-DF7E-447E-A442-FFF73A5BFB72}" srcOrd="0" destOrd="0" presId="urn:microsoft.com/office/officeart/2005/8/layout/equation1"/>
    <dgm:cxn modelId="{CCC4F4E5-5C82-48C0-8EF7-3D207AE0027C}" type="presOf" srcId="{387AD8EC-07E8-4659-8D79-9DB3BFE40BDE}" destId="{45FEA5D8-796B-4561-A106-7CF058F9C619}" srcOrd="0" destOrd="0" presId="urn:microsoft.com/office/officeart/2005/8/layout/equation1"/>
    <dgm:cxn modelId="{274F815E-A916-4B64-BD7C-ACB60C4D4EDF}" type="presOf" srcId="{117341A7-B837-4FB6-AFAD-C7CC4305BC75}" destId="{B975D617-6AEE-47C3-9F03-5E109DDA7B98}" srcOrd="0" destOrd="0" presId="urn:microsoft.com/office/officeart/2005/8/layout/equation1"/>
    <dgm:cxn modelId="{812E5D8F-8F39-48D3-A18D-D278922D5CDE}" srcId="{117341A7-B837-4FB6-AFAD-C7CC4305BC75}" destId="{86246E40-2B04-4E4B-9A72-288D3DFE42D3}" srcOrd="1" destOrd="0" parTransId="{762ADEE5-EFEA-446B-85F4-A519FFDEE869}" sibTransId="{387AD8EC-07E8-4659-8D79-9DB3BFE40BDE}"/>
    <dgm:cxn modelId="{029F239D-ED85-4BCB-B462-5DCE774E0C26}" srcId="{117341A7-B837-4FB6-AFAD-C7CC4305BC75}" destId="{F03AF7DE-49BD-4799-81AF-8979A027A51A}" srcOrd="2" destOrd="0" parTransId="{B5E178DD-44F5-42AC-8CC4-6C57C5A1B38D}" sibTransId="{A78DF8D7-EA88-4677-8A49-4809F0D78CB2}"/>
    <dgm:cxn modelId="{F1896084-22DE-472C-8AD1-46BCD66DA1AD}" type="presOf" srcId="{FCA1E65B-7A5F-4B47-A04B-574C1F30B430}" destId="{5FF4A2B6-462D-4A87-9353-8D2E4246C0F6}" srcOrd="0" destOrd="0" presId="urn:microsoft.com/office/officeart/2005/8/layout/equation1"/>
    <dgm:cxn modelId="{2C420CDF-AF2A-4B0A-943B-1F967F3DC9BB}" srcId="{117341A7-B837-4FB6-AFAD-C7CC4305BC75}" destId="{2FC7FBF8-347F-4DA6-A797-A02E7728FEBE}" srcOrd="0" destOrd="0" parTransId="{E6B9F71F-E749-4ABA-9B65-3C3591EE8110}" sibTransId="{FCA1E65B-7A5F-4B47-A04B-574C1F30B430}"/>
    <dgm:cxn modelId="{979E743D-0567-47B3-92D6-20508FBE59E3}" type="presOf" srcId="{F03AF7DE-49BD-4799-81AF-8979A027A51A}" destId="{2CAED200-F67D-4F4E-842B-BDF4738A291C}" srcOrd="0" destOrd="0" presId="urn:microsoft.com/office/officeart/2005/8/layout/equation1"/>
    <dgm:cxn modelId="{6D9EB677-4F43-4F41-AC86-CE10051CF1AD}" type="presOf" srcId="{86246E40-2B04-4E4B-9A72-288D3DFE42D3}" destId="{0EE07546-C2F6-494D-ABB8-556723229528}" srcOrd="0" destOrd="0" presId="urn:microsoft.com/office/officeart/2005/8/layout/equation1"/>
    <dgm:cxn modelId="{E84421BF-0355-447B-B292-8291F93804E1}" type="presParOf" srcId="{B975D617-6AEE-47C3-9F03-5E109DDA7B98}" destId="{79F32F72-DF7E-447E-A442-FFF73A5BFB72}" srcOrd="0" destOrd="0" presId="urn:microsoft.com/office/officeart/2005/8/layout/equation1"/>
    <dgm:cxn modelId="{055CBED9-AA91-45E9-932F-990F35CE957D}" type="presParOf" srcId="{B975D617-6AEE-47C3-9F03-5E109DDA7B98}" destId="{CF807B33-2395-42CF-9282-C56CCF3AEBA4}" srcOrd="1" destOrd="0" presId="urn:microsoft.com/office/officeart/2005/8/layout/equation1"/>
    <dgm:cxn modelId="{C7938DF8-7344-46A7-B4CE-90B664EFAC6B}" type="presParOf" srcId="{B975D617-6AEE-47C3-9F03-5E109DDA7B98}" destId="{5FF4A2B6-462D-4A87-9353-8D2E4246C0F6}" srcOrd="2" destOrd="0" presId="urn:microsoft.com/office/officeart/2005/8/layout/equation1"/>
    <dgm:cxn modelId="{0E9B3AAB-CAC3-4513-96EF-A29ABE20AEFA}" type="presParOf" srcId="{B975D617-6AEE-47C3-9F03-5E109DDA7B98}" destId="{B0E4A3BD-C099-476E-8BDD-6493A38EC7E9}" srcOrd="3" destOrd="0" presId="urn:microsoft.com/office/officeart/2005/8/layout/equation1"/>
    <dgm:cxn modelId="{E5D1C49B-E5AD-41C7-B371-795187CB095D}" type="presParOf" srcId="{B975D617-6AEE-47C3-9F03-5E109DDA7B98}" destId="{0EE07546-C2F6-494D-ABB8-556723229528}" srcOrd="4" destOrd="0" presId="urn:microsoft.com/office/officeart/2005/8/layout/equation1"/>
    <dgm:cxn modelId="{1C10E0BF-9459-4029-A8F3-622E2A5BBD74}" type="presParOf" srcId="{B975D617-6AEE-47C3-9F03-5E109DDA7B98}" destId="{67612911-913E-4489-8332-676C0C35B88C}" srcOrd="5" destOrd="0" presId="urn:microsoft.com/office/officeart/2005/8/layout/equation1"/>
    <dgm:cxn modelId="{77350AF6-E67D-40EE-B7A1-2DC61DD568F1}" type="presParOf" srcId="{B975D617-6AEE-47C3-9F03-5E109DDA7B98}" destId="{45FEA5D8-796B-4561-A106-7CF058F9C619}" srcOrd="6" destOrd="0" presId="urn:microsoft.com/office/officeart/2005/8/layout/equation1"/>
    <dgm:cxn modelId="{1DD9DAED-14DE-408A-9215-141FF806C95B}" type="presParOf" srcId="{B975D617-6AEE-47C3-9F03-5E109DDA7B98}" destId="{0517567F-9FA8-45A2-B5AA-43D00A8C7079}" srcOrd="7" destOrd="0" presId="urn:microsoft.com/office/officeart/2005/8/layout/equation1"/>
    <dgm:cxn modelId="{71370C16-F975-4BB6-9B17-E26087759FDE}" type="presParOf" srcId="{B975D617-6AEE-47C3-9F03-5E109DDA7B98}" destId="{2CAED200-F67D-4F4E-842B-BDF4738A291C}" srcOrd="8" destOrd="0" presId="urn:microsoft.com/office/officeart/2005/8/layout/equation1"/>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F32F72-DF7E-447E-A442-FFF73A5BFB72}">
      <dsp:nvSpPr>
        <dsp:cNvPr id="0" name=""/>
        <dsp:cNvSpPr/>
      </dsp:nvSpPr>
      <dsp:spPr>
        <a:xfrm>
          <a:off x="307288" y="315"/>
          <a:ext cx="1086296" cy="1086296"/>
        </a:xfrm>
        <a:prstGeom prst="ellipse">
          <a:avLst/>
        </a:prstGeom>
        <a:solidFill>
          <a:schemeClr val="accent3">
            <a:lumMod val="40000"/>
            <a:lumOff val="60000"/>
          </a:schemeClr>
        </a:soli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AU" sz="1500" kern="1200">
              <a:latin typeface="Calibri"/>
              <a:ea typeface="+mn-ea"/>
              <a:cs typeface="+mn-cs"/>
            </a:rPr>
            <a:t>NPP</a:t>
          </a:r>
        </a:p>
      </dsp:txBody>
      <dsp:txXfrm>
        <a:off x="466372" y="159399"/>
        <a:ext cx="768128" cy="768128"/>
      </dsp:txXfrm>
    </dsp:sp>
    <dsp:sp modelId="{5FF4A2B6-462D-4A87-9353-8D2E4246C0F6}">
      <dsp:nvSpPr>
        <dsp:cNvPr id="0" name=""/>
        <dsp:cNvSpPr/>
      </dsp:nvSpPr>
      <dsp:spPr>
        <a:xfrm>
          <a:off x="3366813" y="297397"/>
          <a:ext cx="630051" cy="630051"/>
        </a:xfrm>
        <a:prstGeom prst="mathMinus">
          <a:avLst/>
        </a:prstGeom>
        <a:solidFill>
          <a:schemeClr val="tx2">
            <a:lumMod val="75000"/>
          </a:schemeClr>
        </a:soli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z="-80000"/>
      </dsp:spPr>
      <dsp:style>
        <a:lnRef idx="1">
          <a:schemeClr val="accent2"/>
        </a:lnRef>
        <a:fillRef idx="2">
          <a:schemeClr val="accent2"/>
        </a:fillRef>
        <a:effectRef idx="1">
          <a:schemeClr val="accent2"/>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AU" sz="1000" kern="1200">
            <a:solidFill>
              <a:sysClr val="window" lastClr="FFFFFF"/>
            </a:solidFill>
            <a:latin typeface="Calibri"/>
            <a:ea typeface="+mn-ea"/>
            <a:cs typeface="+mn-cs"/>
          </a:endParaRPr>
        </a:p>
      </dsp:txBody>
      <dsp:txXfrm>
        <a:off x="3450326" y="538329"/>
        <a:ext cx="463025" cy="148187"/>
      </dsp:txXfrm>
    </dsp:sp>
    <dsp:sp modelId="{0EE07546-C2F6-494D-ABB8-556723229528}">
      <dsp:nvSpPr>
        <dsp:cNvPr id="0" name=""/>
        <dsp:cNvSpPr/>
      </dsp:nvSpPr>
      <dsp:spPr>
        <a:xfrm>
          <a:off x="2200051" y="315"/>
          <a:ext cx="1086296" cy="1086296"/>
        </a:xfrm>
        <a:prstGeom prst="ellipse">
          <a:avLst/>
        </a:prstGeom>
        <a:solidFill>
          <a:schemeClr val="accent3">
            <a:lumMod val="40000"/>
            <a:lumOff val="60000"/>
          </a:schemeClr>
        </a:soli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AU" sz="1500" kern="1200">
              <a:latin typeface="Calibri"/>
              <a:ea typeface="+mn-ea"/>
              <a:cs typeface="+mn-cs"/>
            </a:rPr>
            <a:t>Premium Paid</a:t>
          </a:r>
        </a:p>
      </dsp:txBody>
      <dsp:txXfrm>
        <a:off x="2359135" y="159399"/>
        <a:ext cx="768128" cy="768128"/>
      </dsp:txXfrm>
    </dsp:sp>
    <dsp:sp modelId="{45FEA5D8-796B-4561-A106-7CF058F9C619}">
      <dsp:nvSpPr>
        <dsp:cNvPr id="0" name=""/>
        <dsp:cNvSpPr/>
      </dsp:nvSpPr>
      <dsp:spPr>
        <a:xfrm>
          <a:off x="1497202" y="251428"/>
          <a:ext cx="630051" cy="630051"/>
        </a:xfrm>
        <a:prstGeom prst="mathEqual">
          <a:avLst/>
        </a:prstGeom>
        <a:solidFill>
          <a:schemeClr val="tx2">
            <a:lumMod val="75000"/>
          </a:schemeClr>
        </a:soli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z="-80000"/>
      </dsp:spPr>
      <dsp:style>
        <a:lnRef idx="1">
          <a:schemeClr val="accent1"/>
        </a:lnRef>
        <a:fillRef idx="2">
          <a:schemeClr val="accent1"/>
        </a:fillRef>
        <a:effectRef idx="1">
          <a:schemeClr val="accent1"/>
        </a:effectRef>
        <a:fontRef idx="minor">
          <a:schemeClr val="dk1"/>
        </a:fontRef>
      </dsp:style>
      <dsp:txBody>
        <a:bodyPr spcFirstLastPara="0" vert="horz" wrap="square" lIns="0" tIns="0" rIns="0" bIns="0" numCol="1" spcCol="1270" anchor="ctr" anchorCtr="0">
          <a:noAutofit/>
        </a:bodyPr>
        <a:lstStyle/>
        <a:p>
          <a:pPr lvl="0" algn="ctr" defTabSz="1155700">
            <a:lnSpc>
              <a:spcPct val="90000"/>
            </a:lnSpc>
            <a:spcBef>
              <a:spcPct val="0"/>
            </a:spcBef>
            <a:spcAft>
              <a:spcPct val="35000"/>
            </a:spcAft>
          </a:pPr>
          <a:endParaRPr lang="en-AU" sz="2600" kern="1200">
            <a:solidFill>
              <a:sysClr val="window" lastClr="FFFFFF"/>
            </a:solidFill>
            <a:latin typeface="Calibri"/>
            <a:ea typeface="+mn-ea"/>
            <a:cs typeface="+mn-cs"/>
          </a:endParaRPr>
        </a:p>
      </dsp:txBody>
      <dsp:txXfrm>
        <a:off x="1580715" y="381219"/>
        <a:ext cx="463025" cy="370469"/>
      </dsp:txXfrm>
    </dsp:sp>
    <dsp:sp modelId="{2CAED200-F67D-4F4E-842B-BDF4738A291C}">
      <dsp:nvSpPr>
        <dsp:cNvPr id="0" name=""/>
        <dsp:cNvSpPr/>
      </dsp:nvSpPr>
      <dsp:spPr>
        <a:xfrm>
          <a:off x="4092814" y="315"/>
          <a:ext cx="1086296" cy="1086296"/>
        </a:xfrm>
        <a:prstGeom prst="ellipse">
          <a:avLst/>
        </a:prstGeom>
        <a:solidFill>
          <a:schemeClr val="accent3">
            <a:lumMod val="40000"/>
            <a:lumOff val="60000"/>
          </a:schemeClr>
        </a:soli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accent4"/>
        </a:lnRef>
        <a:fillRef idx="2">
          <a:schemeClr val="accent4"/>
        </a:fillRef>
        <a:effectRef idx="1">
          <a:schemeClr val="accent4"/>
        </a:effectRef>
        <a:fontRef idx="minor">
          <a:schemeClr val="dk1"/>
        </a:fontRef>
      </dsp:style>
      <dsp:txBody>
        <a:bodyPr spcFirstLastPara="0" vert="horz" wrap="square" lIns="19050" tIns="19050" rIns="19050" bIns="19050" numCol="1" spcCol="1270" anchor="ctr" anchorCtr="0">
          <a:noAutofit/>
        </a:bodyPr>
        <a:lstStyle/>
        <a:p>
          <a:pPr lvl="0" algn="ctr" defTabSz="666750">
            <a:lnSpc>
              <a:spcPct val="90000"/>
            </a:lnSpc>
            <a:spcBef>
              <a:spcPct val="0"/>
            </a:spcBef>
            <a:spcAft>
              <a:spcPct val="35000"/>
            </a:spcAft>
          </a:pPr>
          <a:r>
            <a:rPr lang="en-AU" sz="1500" kern="1200">
              <a:latin typeface="Calibri"/>
              <a:ea typeface="+mn-ea"/>
              <a:cs typeface="+mn-cs"/>
            </a:rPr>
            <a:t>Claims Costs Paid</a:t>
          </a:r>
        </a:p>
      </dsp:txBody>
      <dsp:txXfrm>
        <a:off x="4251898" y="159399"/>
        <a:ext cx="768128" cy="76812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70D1-764C-48B5-BCDE-C50DA125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option 2 - A4</Template>
  <TotalTime>0</TotalTime>
  <Pages>11</Pages>
  <Words>1633</Words>
  <Characters>9561</Characters>
  <Application>Microsoft Office Word</Application>
  <DocSecurity>0</DocSecurity>
  <Lines>299</Lines>
  <Paragraphs>127</Paragraphs>
  <ScaleCrop>false</ScaleCrop>
  <HeadingPairs>
    <vt:vector size="2" baseType="variant">
      <vt:variant>
        <vt:lpstr>Title</vt:lpstr>
      </vt:variant>
      <vt:variant>
        <vt:i4>1</vt:i4>
      </vt:variant>
    </vt:vector>
  </HeadingPairs>
  <TitlesOfParts>
    <vt:vector size="1" baseType="lpstr">
      <vt:lpstr>Valuation of liability transfer payment guidelines</vt:lpstr>
    </vt:vector>
  </TitlesOfParts>
  <Company>ReturnToWorkSA</Company>
  <LinksUpToDate>false</LinksUpToDate>
  <CharactersWithSpaces>11110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of liability transfer payment guidelines</dc:title>
  <dc:subject>Valuation of a liability transfer payment</dc:subject>
  <dc:creator>ReturnToWorkSA</dc:creator>
  <cp:keywords>LTP, liability transfer, self-insured</cp:keywords>
  <dc:description>This document describes the process for determinig the value of a liability transfer payment when applying to be registered as a self-insured employer</dc:description>
  <cp:lastModifiedBy>Mitchell, Kit</cp:lastModifiedBy>
  <cp:revision>2</cp:revision>
  <cp:lastPrinted>2022-02-10T23:46:00Z</cp:lastPrinted>
  <dcterms:created xsi:type="dcterms:W3CDTF">2022-02-10T23:48:00Z</dcterms:created>
  <dcterms:modified xsi:type="dcterms:W3CDTF">2022-02-10T23:48:00Z</dcterms:modified>
</cp:coreProperties>
</file>