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F3BC7" w14:textId="77777777" w:rsidR="00F27FCE" w:rsidRDefault="00F27FCE" w:rsidP="00F27FCE">
      <w:pPr>
        <w:pStyle w:val="MainHeadingCover"/>
        <w:spacing w:line="420" w:lineRule="exact"/>
        <w:rPr>
          <w:sz w:val="44"/>
        </w:rPr>
      </w:pPr>
      <w:bookmarkStart w:id="0" w:name="_Toc416964868"/>
      <w:bookmarkStart w:id="1" w:name="_GoBack"/>
      <w:bookmarkEnd w:id="1"/>
    </w:p>
    <w:p w14:paraId="6BCED3FA" w14:textId="74D5D1DA" w:rsidR="00F27FCE" w:rsidRDefault="00D1171E" w:rsidP="00F04697">
      <w:pPr>
        <w:pStyle w:val="SubheadingCover"/>
        <w:spacing w:line="240" w:lineRule="auto"/>
        <w:rPr>
          <w:i/>
        </w:rPr>
      </w:pPr>
      <w:r w:rsidRPr="00D1171E">
        <w:rPr>
          <w:rFonts w:cs="SourceSansPro-Light"/>
          <w:color w:val="A21C26"/>
          <w:sz w:val="52"/>
          <w:szCs w:val="22"/>
          <w:lang w:val="en-US"/>
        </w:rPr>
        <w:t>Fishing crews guide</w:t>
      </w:r>
    </w:p>
    <w:p w14:paraId="3D0F8B2C" w14:textId="7CE9465C" w:rsidR="00F27FCE" w:rsidRPr="00F04697" w:rsidRDefault="00F04697" w:rsidP="00F04697">
      <w:pPr>
        <w:pStyle w:val="TOCHeader"/>
        <w:spacing w:line="240" w:lineRule="auto"/>
        <w:jc w:val="left"/>
        <w:rPr>
          <w:sz w:val="28"/>
          <w:szCs w:val="28"/>
        </w:rPr>
      </w:pPr>
      <w:r w:rsidRPr="00F04697">
        <w:rPr>
          <w:sz w:val="28"/>
          <w:szCs w:val="28"/>
        </w:rPr>
        <w:t>A guide to deemed</w:t>
      </w:r>
      <w:r w:rsidR="00C10EC7">
        <w:rPr>
          <w:sz w:val="28"/>
          <w:szCs w:val="28"/>
        </w:rPr>
        <w:t xml:space="preserve"> and excluded</w:t>
      </w:r>
      <w:r w:rsidRPr="00F04697">
        <w:rPr>
          <w:sz w:val="28"/>
          <w:szCs w:val="28"/>
        </w:rPr>
        <w:t xml:space="preserve"> workers</w:t>
      </w:r>
    </w:p>
    <w:p w14:paraId="57F92527" w14:textId="77777777" w:rsidR="00F04697" w:rsidRDefault="00F04697" w:rsidP="00F27FCE">
      <w:pPr>
        <w:pStyle w:val="Heading1"/>
        <w:rPr>
          <w:rFonts w:eastAsia="MS Mincho"/>
          <w:color w:val="000000"/>
          <w:sz w:val="22"/>
          <w:szCs w:val="20"/>
        </w:rPr>
      </w:pPr>
      <w:bookmarkStart w:id="2" w:name="_Toc416869541"/>
      <w:bookmarkStart w:id="3" w:name="_Toc416873082"/>
      <w:bookmarkStart w:id="4" w:name="_Toc416881457"/>
      <w:bookmarkStart w:id="5" w:name="_Toc416964869"/>
      <w:bookmarkStart w:id="6" w:name="_Toc417045356"/>
      <w:bookmarkStart w:id="7" w:name="_Toc417046134"/>
      <w:bookmarkStart w:id="8" w:name="_Toc417049698"/>
      <w:bookmarkEnd w:id="0"/>
    </w:p>
    <w:p w14:paraId="0B218C17" w14:textId="77777777" w:rsidR="00F04697" w:rsidRDefault="00F04697" w:rsidP="00F27FCE">
      <w:pPr>
        <w:pStyle w:val="Heading1"/>
        <w:rPr>
          <w:rFonts w:eastAsia="MS Mincho"/>
          <w:color w:val="000000"/>
          <w:sz w:val="22"/>
          <w:szCs w:val="20"/>
        </w:rPr>
        <w:sectPr w:rsidR="00F04697" w:rsidSect="00F27FCE">
          <w:footerReference w:type="default" r:id="rId14"/>
          <w:headerReference w:type="first" r:id="rId15"/>
          <w:footerReference w:type="first" r:id="rId16"/>
          <w:type w:val="continuous"/>
          <w:pgSz w:w="11900" w:h="16840" w:code="9"/>
          <w:pgMar w:top="794" w:right="794" w:bottom="737" w:left="794" w:header="794" w:footer="737" w:gutter="0"/>
          <w:cols w:space="674"/>
          <w:titlePg/>
          <w:docGrid w:linePitch="360"/>
        </w:sectPr>
      </w:pPr>
    </w:p>
    <w:p w14:paraId="09ADE031" w14:textId="6D345158" w:rsidR="00F27FCE" w:rsidRPr="00E33852" w:rsidRDefault="00F27FCE" w:rsidP="00F04697">
      <w:pPr>
        <w:pStyle w:val="Heading1"/>
        <w:spacing w:line="240" w:lineRule="auto"/>
        <w:rPr>
          <w:rFonts w:eastAsia="MS Mincho"/>
          <w:bCs/>
          <w:color w:val="000000"/>
          <w:sz w:val="21"/>
          <w:szCs w:val="21"/>
        </w:rPr>
      </w:pPr>
      <w:r w:rsidRPr="00E33852">
        <w:rPr>
          <w:rFonts w:eastAsia="MS Mincho"/>
          <w:color w:val="000000"/>
          <w:sz w:val="21"/>
          <w:szCs w:val="21"/>
        </w:rPr>
        <w:lastRenderedPageBreak/>
        <w:t xml:space="preserve">This guide has been produced to help employers and/or workers who may be uncertain about coverage under the </w:t>
      </w:r>
      <w:r w:rsidRPr="00E33852">
        <w:rPr>
          <w:rFonts w:eastAsia="MS Mincho"/>
          <w:i/>
          <w:color w:val="000000"/>
          <w:sz w:val="21"/>
          <w:szCs w:val="21"/>
        </w:rPr>
        <w:t>Return to Work Act 2014</w:t>
      </w:r>
      <w:r w:rsidRPr="00E33852">
        <w:rPr>
          <w:rFonts w:eastAsia="MS Mincho"/>
          <w:color w:val="000000"/>
          <w:sz w:val="21"/>
          <w:szCs w:val="21"/>
        </w:rPr>
        <w:t xml:space="preserve"> (the Act). For further information please call ReturnToWorkSA (RTWSA) on 13 18 55.</w:t>
      </w:r>
      <w:bookmarkEnd w:id="2"/>
      <w:bookmarkEnd w:id="3"/>
      <w:bookmarkEnd w:id="4"/>
      <w:bookmarkEnd w:id="5"/>
      <w:bookmarkEnd w:id="6"/>
      <w:bookmarkEnd w:id="7"/>
      <w:bookmarkEnd w:id="8"/>
    </w:p>
    <w:p w14:paraId="6E7E6548" w14:textId="77777777" w:rsidR="00F27FCE" w:rsidRDefault="00F27FCE" w:rsidP="00F04697">
      <w:pPr>
        <w:spacing w:line="240" w:lineRule="auto"/>
      </w:pPr>
    </w:p>
    <w:p w14:paraId="63421B5D" w14:textId="77777777" w:rsidR="00F27FCE" w:rsidRPr="00F04697" w:rsidRDefault="00F27FCE" w:rsidP="00F04697">
      <w:pPr>
        <w:pStyle w:val="Heading1"/>
        <w:spacing w:line="240" w:lineRule="auto"/>
        <w:rPr>
          <w:sz w:val="24"/>
          <w:szCs w:val="24"/>
        </w:rPr>
      </w:pPr>
      <w:bookmarkStart w:id="9" w:name="_Toc416964870"/>
      <w:bookmarkStart w:id="10" w:name="_Toc417049699"/>
      <w:r w:rsidRPr="00F04697">
        <w:rPr>
          <w:sz w:val="24"/>
          <w:szCs w:val="24"/>
        </w:rPr>
        <w:t>Who is a worker?</w:t>
      </w:r>
      <w:bookmarkEnd w:id="9"/>
      <w:bookmarkEnd w:id="10"/>
    </w:p>
    <w:p w14:paraId="7A20BBC4" w14:textId="228EEB81" w:rsidR="00F27FCE" w:rsidRPr="00E33852" w:rsidRDefault="00F27FCE" w:rsidP="00F04697">
      <w:pPr>
        <w:spacing w:line="240" w:lineRule="auto"/>
        <w:jc w:val="left"/>
        <w:rPr>
          <w:sz w:val="21"/>
          <w:szCs w:val="21"/>
        </w:rPr>
      </w:pPr>
      <w:r w:rsidRPr="00E33852">
        <w:rPr>
          <w:sz w:val="21"/>
          <w:szCs w:val="21"/>
        </w:rPr>
        <w:t xml:space="preserve">The Act provides for the recovery and financial support of workers who suffer a work injury arising from their employment. The Act requires that an employer register with RTWSA and pay an insurance premium based on remuneration paid to workers in their employ (unless they are exempted – see the RTWSA website for information on the small employer registration exemption). Under the Act, ‘worker’ </w:t>
      </w:r>
      <w:r w:rsidR="00734A13" w:rsidRPr="00E33852">
        <w:rPr>
          <w:sz w:val="21"/>
          <w:szCs w:val="21"/>
        </w:rPr>
        <w:t>ha</w:t>
      </w:r>
      <w:r w:rsidRPr="00E33852">
        <w:rPr>
          <w:sz w:val="21"/>
          <w:szCs w:val="21"/>
        </w:rPr>
        <w:t>s a broader definition than ‘employee’.</w:t>
      </w:r>
    </w:p>
    <w:p w14:paraId="54D03E25" w14:textId="77777777" w:rsidR="00F27FCE" w:rsidRPr="00E33852" w:rsidRDefault="00F27FCE" w:rsidP="00F04697">
      <w:pPr>
        <w:spacing w:line="240" w:lineRule="auto"/>
        <w:jc w:val="left"/>
        <w:rPr>
          <w:sz w:val="21"/>
          <w:szCs w:val="21"/>
        </w:rPr>
      </w:pPr>
    </w:p>
    <w:p w14:paraId="6CB959F2" w14:textId="356DDA91" w:rsidR="00567862" w:rsidRPr="00E33852" w:rsidRDefault="00F27FCE" w:rsidP="00F04697">
      <w:pPr>
        <w:spacing w:line="240" w:lineRule="auto"/>
        <w:jc w:val="left"/>
        <w:rPr>
          <w:sz w:val="21"/>
          <w:szCs w:val="21"/>
        </w:rPr>
      </w:pPr>
      <w:r w:rsidRPr="00E33852">
        <w:rPr>
          <w:sz w:val="21"/>
          <w:szCs w:val="21"/>
        </w:rPr>
        <w:t xml:space="preserve">Whether someone is a worker under the Act needs to be considered on a case-by-case basis, from the viewpoint of the </w:t>
      </w:r>
      <w:r w:rsidR="00E01E86" w:rsidRPr="00E33852">
        <w:rPr>
          <w:sz w:val="21"/>
          <w:szCs w:val="21"/>
        </w:rPr>
        <w:t>‘</w:t>
      </w:r>
      <w:r w:rsidRPr="00E33852">
        <w:rPr>
          <w:sz w:val="21"/>
          <w:szCs w:val="21"/>
        </w:rPr>
        <w:t>worker</w:t>
      </w:r>
      <w:r w:rsidR="00E01E86" w:rsidRPr="00E33852">
        <w:rPr>
          <w:sz w:val="21"/>
          <w:szCs w:val="21"/>
        </w:rPr>
        <w:t>’</w:t>
      </w:r>
      <w:r w:rsidRPr="00E33852">
        <w:rPr>
          <w:sz w:val="21"/>
          <w:szCs w:val="21"/>
        </w:rPr>
        <w:t>-</w:t>
      </w:r>
      <w:r w:rsidR="00E01E86" w:rsidRPr="00E33852">
        <w:rPr>
          <w:sz w:val="21"/>
          <w:szCs w:val="21"/>
        </w:rPr>
        <w:t>‘</w:t>
      </w:r>
      <w:r w:rsidRPr="00E33852">
        <w:rPr>
          <w:sz w:val="21"/>
          <w:szCs w:val="21"/>
        </w:rPr>
        <w:t>employer</w:t>
      </w:r>
      <w:r w:rsidR="00E01E86" w:rsidRPr="00E33852">
        <w:rPr>
          <w:sz w:val="21"/>
          <w:szCs w:val="21"/>
        </w:rPr>
        <w:t>’</w:t>
      </w:r>
      <w:r w:rsidRPr="00E33852">
        <w:rPr>
          <w:sz w:val="21"/>
          <w:szCs w:val="21"/>
        </w:rPr>
        <w:t xml:space="preserve"> relationship, against </w:t>
      </w:r>
      <w:r w:rsidR="00E01E86" w:rsidRPr="00E33852">
        <w:rPr>
          <w:sz w:val="21"/>
          <w:szCs w:val="21"/>
        </w:rPr>
        <w:t xml:space="preserve">the provisions of the Act and </w:t>
      </w:r>
      <w:r w:rsidRPr="00E33852">
        <w:rPr>
          <w:sz w:val="21"/>
          <w:szCs w:val="21"/>
        </w:rPr>
        <w:t>well-tested common law principles.</w:t>
      </w:r>
    </w:p>
    <w:p w14:paraId="1DBC8F14" w14:textId="5C98CF27" w:rsidR="00567862" w:rsidRPr="00E33852" w:rsidRDefault="00567862" w:rsidP="00F04697">
      <w:pPr>
        <w:spacing w:line="240" w:lineRule="auto"/>
        <w:jc w:val="left"/>
        <w:rPr>
          <w:sz w:val="21"/>
          <w:szCs w:val="21"/>
        </w:rPr>
      </w:pPr>
      <w:r w:rsidRPr="00E33852">
        <w:rPr>
          <w:sz w:val="21"/>
          <w:szCs w:val="21"/>
        </w:rPr>
        <w:t>A</w:t>
      </w:r>
      <w:r w:rsidR="00EF6CD6">
        <w:rPr>
          <w:sz w:val="21"/>
          <w:szCs w:val="21"/>
        </w:rPr>
        <w:t>s</w:t>
      </w:r>
      <w:r w:rsidRPr="00E33852">
        <w:rPr>
          <w:sz w:val="21"/>
          <w:szCs w:val="21"/>
        </w:rPr>
        <w:t xml:space="preserve"> there are some provisions which treat a person as a ‘worker’ for the purpose of the Act, there are some provisions which exclude persons even if they are engaged under a cont</w:t>
      </w:r>
      <w:r w:rsidR="00EF6CD6">
        <w:rPr>
          <w:sz w:val="21"/>
          <w:szCs w:val="21"/>
        </w:rPr>
        <w:t>ract of service i.e. clearly an</w:t>
      </w:r>
      <w:r w:rsidRPr="00E33852">
        <w:rPr>
          <w:sz w:val="21"/>
          <w:szCs w:val="21"/>
        </w:rPr>
        <w:t xml:space="preserve"> employee.</w:t>
      </w:r>
    </w:p>
    <w:p w14:paraId="7B504EE2" w14:textId="77777777" w:rsidR="00F27FCE" w:rsidRPr="00F04697" w:rsidRDefault="00F27FCE" w:rsidP="00F04697">
      <w:pPr>
        <w:pStyle w:val="Heading1"/>
        <w:spacing w:line="240" w:lineRule="auto"/>
        <w:rPr>
          <w:sz w:val="24"/>
          <w:szCs w:val="24"/>
        </w:rPr>
      </w:pPr>
    </w:p>
    <w:p w14:paraId="52EF1F9F" w14:textId="77777777" w:rsidR="00F27FCE" w:rsidRPr="00F04697" w:rsidRDefault="00F27FCE" w:rsidP="00F04697">
      <w:pPr>
        <w:pStyle w:val="Heading1"/>
        <w:spacing w:line="240" w:lineRule="auto"/>
        <w:rPr>
          <w:sz w:val="24"/>
          <w:szCs w:val="24"/>
        </w:rPr>
      </w:pPr>
      <w:bookmarkStart w:id="11" w:name="_Toc416964871"/>
      <w:bookmarkStart w:id="12" w:name="_Toc417049700"/>
      <w:r w:rsidRPr="00F04697">
        <w:rPr>
          <w:sz w:val="24"/>
          <w:szCs w:val="24"/>
        </w:rPr>
        <w:t>Important notes</w:t>
      </w:r>
      <w:bookmarkEnd w:id="11"/>
      <w:bookmarkEnd w:id="12"/>
    </w:p>
    <w:p w14:paraId="724D82BC" w14:textId="148D97CA" w:rsidR="00F27FCE" w:rsidRPr="00E33852" w:rsidRDefault="00F27FCE" w:rsidP="00E33852">
      <w:pPr>
        <w:spacing w:line="240" w:lineRule="auto"/>
        <w:jc w:val="left"/>
        <w:rPr>
          <w:sz w:val="21"/>
          <w:szCs w:val="21"/>
        </w:rPr>
      </w:pPr>
      <w:r w:rsidRPr="00E33852">
        <w:rPr>
          <w:sz w:val="21"/>
          <w:szCs w:val="21"/>
        </w:rPr>
        <w:t xml:space="preserve">Whether a worker is engaged to perform work on an ongoing basis or for a short period </w:t>
      </w:r>
      <w:r w:rsidR="006B0A8C" w:rsidRPr="00E33852">
        <w:rPr>
          <w:sz w:val="21"/>
          <w:szCs w:val="21"/>
        </w:rPr>
        <w:t>e.g.</w:t>
      </w:r>
      <w:r w:rsidRPr="00E33852">
        <w:rPr>
          <w:sz w:val="21"/>
          <w:szCs w:val="21"/>
        </w:rPr>
        <w:t xml:space="preserve"> for as little as one hour on a given day, or on a casual basis, an obligation exists on the employer to include remuneration paid to any such worker(s) in the </w:t>
      </w:r>
      <w:r w:rsidRPr="00E33852">
        <w:rPr>
          <w:sz w:val="21"/>
          <w:szCs w:val="21"/>
        </w:rPr>
        <w:lastRenderedPageBreak/>
        <w:t>calculation of premium payable.</w:t>
      </w:r>
    </w:p>
    <w:p w14:paraId="613C391F" w14:textId="051C9E4E" w:rsidR="00C10EC7" w:rsidRDefault="00C10EC7" w:rsidP="00F04697">
      <w:pPr>
        <w:pStyle w:val="Heading1"/>
        <w:spacing w:line="240" w:lineRule="auto"/>
        <w:rPr>
          <w:sz w:val="24"/>
          <w:szCs w:val="24"/>
        </w:rPr>
      </w:pPr>
      <w:bookmarkStart w:id="13" w:name="_Toc416871151"/>
      <w:bookmarkStart w:id="14" w:name="_Toc417049701"/>
      <w:bookmarkStart w:id="15" w:name="_Toc416964873"/>
    </w:p>
    <w:p w14:paraId="0BB44814" w14:textId="77777777" w:rsidR="00D1171E" w:rsidRPr="00F04697" w:rsidRDefault="00D1171E" w:rsidP="00F04697">
      <w:pPr>
        <w:pStyle w:val="Heading1"/>
        <w:spacing w:line="240" w:lineRule="auto"/>
        <w:rPr>
          <w:sz w:val="24"/>
          <w:szCs w:val="24"/>
        </w:rPr>
      </w:pPr>
      <w:r w:rsidRPr="00F04697">
        <w:rPr>
          <w:sz w:val="24"/>
          <w:szCs w:val="24"/>
        </w:rPr>
        <w:t>Fishing crews</w:t>
      </w:r>
      <w:bookmarkEnd w:id="13"/>
      <w:bookmarkEnd w:id="14"/>
    </w:p>
    <w:p w14:paraId="6D500586" w14:textId="77777777" w:rsidR="00EF6CD6" w:rsidRDefault="00697EB6" w:rsidP="00F04697">
      <w:pPr>
        <w:spacing w:line="240" w:lineRule="auto"/>
        <w:jc w:val="left"/>
        <w:rPr>
          <w:sz w:val="21"/>
          <w:szCs w:val="21"/>
        </w:rPr>
      </w:pPr>
      <w:r w:rsidRPr="00E33852">
        <w:rPr>
          <w:sz w:val="21"/>
          <w:szCs w:val="21"/>
        </w:rPr>
        <w:t xml:space="preserve">Section 4(2) of the </w:t>
      </w:r>
      <w:r w:rsidR="00E33852" w:rsidRPr="00E33852">
        <w:rPr>
          <w:sz w:val="21"/>
          <w:szCs w:val="21"/>
        </w:rPr>
        <w:t>Act provides</w:t>
      </w:r>
      <w:r w:rsidRPr="00E33852">
        <w:rPr>
          <w:sz w:val="21"/>
          <w:szCs w:val="21"/>
        </w:rPr>
        <w:t xml:space="preserve"> that a </w:t>
      </w:r>
      <w:r w:rsidR="00D1171E" w:rsidRPr="00E33852">
        <w:rPr>
          <w:sz w:val="21"/>
          <w:szCs w:val="21"/>
        </w:rPr>
        <w:t xml:space="preserve">crew member of a fishing </w:t>
      </w:r>
      <w:r w:rsidRPr="00E33852">
        <w:rPr>
          <w:sz w:val="21"/>
          <w:szCs w:val="21"/>
        </w:rPr>
        <w:t>boat</w:t>
      </w:r>
      <w:r w:rsidR="00D1171E" w:rsidRPr="00E33852">
        <w:rPr>
          <w:sz w:val="21"/>
          <w:szCs w:val="21"/>
        </w:rPr>
        <w:t xml:space="preserve"> who is remunerated by a share in profits or gross receipts obtained by working the boat is excluded for cover under the Act. </w:t>
      </w:r>
    </w:p>
    <w:p w14:paraId="7F7F59FD" w14:textId="77777777" w:rsidR="00EF6CD6" w:rsidRDefault="00EF6CD6" w:rsidP="00F04697">
      <w:pPr>
        <w:spacing w:line="240" w:lineRule="auto"/>
        <w:jc w:val="left"/>
        <w:rPr>
          <w:sz w:val="21"/>
          <w:szCs w:val="21"/>
        </w:rPr>
      </w:pPr>
    </w:p>
    <w:p w14:paraId="1E3DD3C7" w14:textId="31F0D746" w:rsidR="00D1171E" w:rsidRPr="00E33852" w:rsidRDefault="00D1171E" w:rsidP="00F04697">
      <w:pPr>
        <w:spacing w:line="240" w:lineRule="auto"/>
        <w:jc w:val="left"/>
        <w:rPr>
          <w:sz w:val="21"/>
          <w:szCs w:val="21"/>
        </w:rPr>
      </w:pPr>
      <w:r w:rsidRPr="00E33852">
        <w:rPr>
          <w:sz w:val="21"/>
          <w:szCs w:val="21"/>
        </w:rPr>
        <w:t>Remuneration</w:t>
      </w:r>
      <w:r w:rsidR="00697EB6" w:rsidRPr="00E33852">
        <w:rPr>
          <w:sz w:val="21"/>
          <w:szCs w:val="21"/>
        </w:rPr>
        <w:t>/payment</w:t>
      </w:r>
      <w:r w:rsidRPr="00E33852">
        <w:rPr>
          <w:sz w:val="21"/>
          <w:szCs w:val="21"/>
        </w:rPr>
        <w:t xml:space="preserve"> to a member of the crew of a fishing boat can take various forms. The following can be used as a guide only.</w:t>
      </w:r>
    </w:p>
    <w:p w14:paraId="44F228B9" w14:textId="77777777" w:rsidR="00D1171E" w:rsidRPr="00E33852" w:rsidRDefault="00D1171E" w:rsidP="00F04697">
      <w:pPr>
        <w:spacing w:line="240" w:lineRule="auto"/>
        <w:jc w:val="left"/>
        <w:rPr>
          <w:sz w:val="21"/>
          <w:szCs w:val="21"/>
        </w:rPr>
      </w:pPr>
    </w:p>
    <w:p w14:paraId="19111A39" w14:textId="5A3786CC" w:rsidR="00D1171E" w:rsidRPr="00E33852" w:rsidRDefault="00D1171E" w:rsidP="00F04697">
      <w:pPr>
        <w:spacing w:line="240" w:lineRule="auto"/>
        <w:jc w:val="left"/>
        <w:rPr>
          <w:sz w:val="21"/>
          <w:szCs w:val="21"/>
        </w:rPr>
      </w:pPr>
      <w:r w:rsidRPr="00E33852">
        <w:rPr>
          <w:sz w:val="21"/>
          <w:szCs w:val="21"/>
        </w:rPr>
        <w:t xml:space="preserve">Where </w:t>
      </w:r>
      <w:r w:rsidR="00697EB6" w:rsidRPr="00E33852">
        <w:rPr>
          <w:sz w:val="21"/>
          <w:szCs w:val="21"/>
        </w:rPr>
        <w:t>a</w:t>
      </w:r>
      <w:r w:rsidRPr="00E33852">
        <w:rPr>
          <w:sz w:val="21"/>
          <w:szCs w:val="21"/>
        </w:rPr>
        <w:t xml:space="preserve"> crew member is paid a ‘share of pr</w:t>
      </w:r>
      <w:r w:rsidR="00697EB6" w:rsidRPr="00E33852">
        <w:rPr>
          <w:sz w:val="21"/>
          <w:szCs w:val="21"/>
        </w:rPr>
        <w:t>ofit</w:t>
      </w:r>
      <w:r w:rsidRPr="00E33852">
        <w:rPr>
          <w:sz w:val="21"/>
          <w:szCs w:val="21"/>
        </w:rPr>
        <w:t>s</w:t>
      </w:r>
      <w:r w:rsidR="00697EB6" w:rsidRPr="00E33852">
        <w:rPr>
          <w:sz w:val="21"/>
          <w:szCs w:val="21"/>
        </w:rPr>
        <w:t xml:space="preserve"> or gross receipts</w:t>
      </w:r>
      <w:r w:rsidRPr="00E33852">
        <w:rPr>
          <w:sz w:val="21"/>
          <w:szCs w:val="21"/>
        </w:rPr>
        <w:t xml:space="preserve">’ </w:t>
      </w:r>
      <w:r w:rsidR="00697EB6" w:rsidRPr="00E33852">
        <w:rPr>
          <w:sz w:val="21"/>
          <w:szCs w:val="21"/>
        </w:rPr>
        <w:t xml:space="preserve">the </w:t>
      </w:r>
      <w:r w:rsidR="00E33852" w:rsidRPr="00E33852">
        <w:rPr>
          <w:sz w:val="21"/>
          <w:szCs w:val="21"/>
        </w:rPr>
        <w:t>relationship would</w:t>
      </w:r>
      <w:r w:rsidRPr="00E33852">
        <w:rPr>
          <w:sz w:val="21"/>
          <w:szCs w:val="21"/>
        </w:rPr>
        <w:t xml:space="preserve"> be considered </w:t>
      </w:r>
      <w:r w:rsidR="00697EB6" w:rsidRPr="00E33852">
        <w:rPr>
          <w:sz w:val="21"/>
          <w:szCs w:val="21"/>
        </w:rPr>
        <w:t xml:space="preserve">more like </w:t>
      </w:r>
      <w:r w:rsidRPr="00E33852">
        <w:rPr>
          <w:sz w:val="21"/>
          <w:szCs w:val="21"/>
        </w:rPr>
        <w:t xml:space="preserve">a joint venture and he/she </w:t>
      </w:r>
      <w:r w:rsidR="00C10EC7" w:rsidRPr="00E33852">
        <w:rPr>
          <w:sz w:val="21"/>
          <w:szCs w:val="21"/>
        </w:rPr>
        <w:t>is not</w:t>
      </w:r>
      <w:r w:rsidRPr="00E33852">
        <w:rPr>
          <w:sz w:val="21"/>
          <w:szCs w:val="21"/>
        </w:rPr>
        <w:t xml:space="preserve"> </w:t>
      </w:r>
      <w:r w:rsidR="00697EB6" w:rsidRPr="00E33852">
        <w:rPr>
          <w:sz w:val="21"/>
          <w:szCs w:val="21"/>
        </w:rPr>
        <w:t>covered by the Act</w:t>
      </w:r>
      <w:r w:rsidRPr="00E33852">
        <w:rPr>
          <w:sz w:val="21"/>
          <w:szCs w:val="21"/>
        </w:rPr>
        <w:t xml:space="preserve">. </w:t>
      </w:r>
    </w:p>
    <w:p w14:paraId="4027CE74" w14:textId="77777777" w:rsidR="00D1171E" w:rsidRPr="00E33852" w:rsidRDefault="00D1171E" w:rsidP="00F04697">
      <w:pPr>
        <w:spacing w:line="240" w:lineRule="auto"/>
        <w:jc w:val="left"/>
        <w:rPr>
          <w:sz w:val="21"/>
          <w:szCs w:val="21"/>
        </w:rPr>
      </w:pPr>
    </w:p>
    <w:p w14:paraId="5228187F" w14:textId="3FB30EF1" w:rsidR="00D1171E" w:rsidRPr="00E33852" w:rsidRDefault="00D1171E" w:rsidP="00F04697">
      <w:pPr>
        <w:spacing w:line="240" w:lineRule="auto"/>
        <w:jc w:val="left"/>
        <w:rPr>
          <w:sz w:val="21"/>
          <w:szCs w:val="21"/>
        </w:rPr>
      </w:pPr>
      <w:r w:rsidRPr="00E33852">
        <w:rPr>
          <w:sz w:val="21"/>
          <w:szCs w:val="21"/>
        </w:rPr>
        <w:t xml:space="preserve">Where ‘wages’ are paid on a weekly, fortnightly or monthly basis and the crew member </w:t>
      </w:r>
      <w:r w:rsidR="00C10EC7" w:rsidRPr="00E33852">
        <w:rPr>
          <w:sz w:val="21"/>
          <w:szCs w:val="21"/>
        </w:rPr>
        <w:t>is employed under a contract of service</w:t>
      </w:r>
      <w:r w:rsidR="00EF6CD6">
        <w:rPr>
          <w:sz w:val="21"/>
          <w:szCs w:val="21"/>
        </w:rPr>
        <w:t>, then he/she would</w:t>
      </w:r>
      <w:r w:rsidRPr="00E33852">
        <w:rPr>
          <w:sz w:val="21"/>
          <w:szCs w:val="21"/>
        </w:rPr>
        <w:t xml:space="preserve"> </w:t>
      </w:r>
      <w:r w:rsidR="00C10EC7" w:rsidRPr="00E33852">
        <w:rPr>
          <w:sz w:val="21"/>
          <w:szCs w:val="21"/>
        </w:rPr>
        <w:t xml:space="preserve">not be excluded from the operation of the </w:t>
      </w:r>
      <w:r w:rsidR="007E5425" w:rsidRPr="00E33852">
        <w:rPr>
          <w:sz w:val="21"/>
          <w:szCs w:val="21"/>
        </w:rPr>
        <w:t>Act</w:t>
      </w:r>
      <w:r w:rsidRPr="00E33852">
        <w:rPr>
          <w:sz w:val="21"/>
          <w:szCs w:val="21"/>
        </w:rPr>
        <w:t xml:space="preserve">.  </w:t>
      </w:r>
    </w:p>
    <w:p w14:paraId="6740B09A" w14:textId="77777777" w:rsidR="00D1171E" w:rsidRPr="00E33852" w:rsidRDefault="00D1171E" w:rsidP="00F04697">
      <w:pPr>
        <w:spacing w:line="240" w:lineRule="auto"/>
        <w:jc w:val="left"/>
        <w:rPr>
          <w:sz w:val="21"/>
          <w:szCs w:val="21"/>
        </w:rPr>
      </w:pPr>
    </w:p>
    <w:p w14:paraId="57D02AB8" w14:textId="13B78E13" w:rsidR="00D1171E" w:rsidRPr="00E33852" w:rsidRDefault="00D1171E" w:rsidP="00F04697">
      <w:pPr>
        <w:spacing w:line="240" w:lineRule="auto"/>
        <w:jc w:val="left"/>
        <w:rPr>
          <w:sz w:val="21"/>
          <w:szCs w:val="21"/>
        </w:rPr>
      </w:pPr>
      <w:r w:rsidRPr="00E33852">
        <w:rPr>
          <w:sz w:val="21"/>
          <w:szCs w:val="21"/>
        </w:rPr>
        <w:t xml:space="preserve">Where the crew member is paid at a ‘fixed rate’ per ton or number of fish, </w:t>
      </w:r>
      <w:r w:rsidR="007E5425" w:rsidRPr="00E33852">
        <w:rPr>
          <w:sz w:val="21"/>
          <w:szCs w:val="21"/>
        </w:rPr>
        <w:t xml:space="preserve">and the crew member is employed under a contract </w:t>
      </w:r>
      <w:r w:rsidR="00EF6CD6">
        <w:rPr>
          <w:sz w:val="21"/>
          <w:szCs w:val="21"/>
        </w:rPr>
        <w:t>of service, then he/she would</w:t>
      </w:r>
      <w:r w:rsidR="007E5425" w:rsidRPr="00E33852">
        <w:rPr>
          <w:sz w:val="21"/>
          <w:szCs w:val="21"/>
        </w:rPr>
        <w:t xml:space="preserve"> not be excluded from the operation of the Act</w:t>
      </w:r>
      <w:r w:rsidR="00221920" w:rsidRPr="00E33852">
        <w:rPr>
          <w:sz w:val="21"/>
          <w:szCs w:val="21"/>
        </w:rPr>
        <w:t>.</w:t>
      </w:r>
      <w:r w:rsidR="007E5425" w:rsidRPr="00E33852" w:rsidDel="007E5425">
        <w:rPr>
          <w:sz w:val="21"/>
          <w:szCs w:val="21"/>
        </w:rPr>
        <w:t xml:space="preserve"> </w:t>
      </w:r>
      <w:r w:rsidR="00221920" w:rsidRPr="00E33852">
        <w:rPr>
          <w:sz w:val="21"/>
          <w:szCs w:val="21"/>
        </w:rPr>
        <w:t>I</w:t>
      </w:r>
      <w:r w:rsidRPr="00E33852">
        <w:rPr>
          <w:sz w:val="21"/>
          <w:szCs w:val="21"/>
        </w:rPr>
        <w:t>f both wages and a fixed rate are paid, the person would generally be considered a worker.</w:t>
      </w:r>
    </w:p>
    <w:p w14:paraId="6803AB3C" w14:textId="77777777" w:rsidR="00D1171E" w:rsidRPr="00E33852" w:rsidRDefault="00D1171E" w:rsidP="00F04697">
      <w:pPr>
        <w:spacing w:line="240" w:lineRule="auto"/>
        <w:jc w:val="left"/>
        <w:rPr>
          <w:sz w:val="21"/>
          <w:szCs w:val="21"/>
        </w:rPr>
      </w:pPr>
    </w:p>
    <w:p w14:paraId="4D630138" w14:textId="5B8E7294" w:rsidR="00F04697" w:rsidRDefault="00D1171E" w:rsidP="00F27FCE">
      <w:pPr>
        <w:spacing w:line="240" w:lineRule="auto"/>
        <w:jc w:val="left"/>
        <w:rPr>
          <w:rFonts w:eastAsiaTheme="majorEastAsia" w:cstheme="majorBidi"/>
          <w:b/>
          <w:bCs/>
          <w:sz w:val="26"/>
          <w:szCs w:val="26"/>
        </w:rPr>
        <w:sectPr w:rsidR="00F04697" w:rsidSect="00F04697">
          <w:type w:val="continuous"/>
          <w:pgSz w:w="11900" w:h="16840" w:code="9"/>
          <w:pgMar w:top="794" w:right="794" w:bottom="737" w:left="794" w:header="794" w:footer="737" w:gutter="0"/>
          <w:cols w:num="2" w:space="674"/>
          <w:titlePg/>
          <w:docGrid w:linePitch="360"/>
        </w:sectPr>
      </w:pPr>
      <w:r w:rsidRPr="00E33852">
        <w:rPr>
          <w:sz w:val="21"/>
          <w:szCs w:val="21"/>
        </w:rPr>
        <w:t xml:space="preserve">Information on a </w:t>
      </w:r>
      <w:r w:rsidR="00C10EC7" w:rsidRPr="00E33852">
        <w:rPr>
          <w:sz w:val="21"/>
          <w:szCs w:val="21"/>
        </w:rPr>
        <w:t>‘</w:t>
      </w:r>
      <w:r w:rsidRPr="00E33852">
        <w:rPr>
          <w:sz w:val="21"/>
          <w:szCs w:val="21"/>
        </w:rPr>
        <w:t>contract of service</w:t>
      </w:r>
      <w:r w:rsidR="00C10EC7" w:rsidRPr="00E33852">
        <w:rPr>
          <w:sz w:val="21"/>
          <w:szCs w:val="21"/>
        </w:rPr>
        <w:t>’</w:t>
      </w:r>
      <w:r w:rsidRPr="00E33852">
        <w:rPr>
          <w:sz w:val="21"/>
          <w:szCs w:val="21"/>
        </w:rPr>
        <w:t xml:space="preserve"> is included in the</w:t>
      </w:r>
      <w:r w:rsidR="00EF6CD6">
        <w:rPr>
          <w:i/>
          <w:sz w:val="21"/>
          <w:szCs w:val="21"/>
        </w:rPr>
        <w:t xml:space="preserve"> Who is</w:t>
      </w:r>
      <w:r w:rsidRPr="00E33852">
        <w:rPr>
          <w:i/>
          <w:sz w:val="21"/>
          <w:szCs w:val="21"/>
        </w:rPr>
        <w:t xml:space="preserve"> a worker</w:t>
      </w:r>
      <w:r w:rsidR="00F74FD8">
        <w:rPr>
          <w:sz w:val="21"/>
          <w:szCs w:val="21"/>
        </w:rPr>
        <w:t xml:space="preserve"> </w:t>
      </w:r>
      <w:r w:rsidRPr="00E33852">
        <w:rPr>
          <w:sz w:val="21"/>
          <w:szCs w:val="21"/>
        </w:rPr>
        <w:t>brochure</w:t>
      </w:r>
      <w:r w:rsidR="00C7791F" w:rsidRPr="00E33852">
        <w:rPr>
          <w:sz w:val="21"/>
          <w:szCs w:val="21"/>
        </w:rPr>
        <w:t xml:space="preserve"> available from ReturnToWorkSA</w:t>
      </w:r>
      <w:r w:rsidRPr="00E33852">
        <w:rPr>
          <w:sz w:val="21"/>
          <w:szCs w:val="21"/>
        </w:rPr>
        <w:t xml:space="preserve">. If further clarification is needed, please phone </w:t>
      </w:r>
      <w:r w:rsidR="00C7791F" w:rsidRPr="00E33852">
        <w:rPr>
          <w:sz w:val="21"/>
          <w:szCs w:val="21"/>
        </w:rPr>
        <w:t>us</w:t>
      </w:r>
      <w:r w:rsidRPr="00E33852">
        <w:rPr>
          <w:sz w:val="21"/>
          <w:szCs w:val="21"/>
        </w:rPr>
        <w:t xml:space="preserve"> on 13 18 55 for assistance to establish if a contract of service exists.</w:t>
      </w:r>
      <w:bookmarkEnd w:id="15"/>
    </w:p>
    <w:p w14:paraId="2FDDD83A" w14:textId="77777777" w:rsidR="00221920" w:rsidRPr="00E33852" w:rsidRDefault="00221920" w:rsidP="00E33852"/>
    <w:p w14:paraId="24AF6122" w14:textId="77777777" w:rsidR="00F04697" w:rsidRPr="001826F0" w:rsidRDefault="00F04697" w:rsidP="00F04697">
      <w:pPr>
        <w:pStyle w:val="Heading1"/>
        <w:spacing w:line="240" w:lineRule="auto"/>
        <w:rPr>
          <w:sz w:val="20"/>
          <w:szCs w:val="20"/>
        </w:rPr>
      </w:pPr>
      <w:r w:rsidRPr="001826F0">
        <w:rPr>
          <w:sz w:val="20"/>
          <w:szCs w:val="20"/>
        </w:rPr>
        <w:t>Disclaimer</w:t>
      </w:r>
    </w:p>
    <w:p w14:paraId="1D8E9BC8" w14:textId="5CEEF32D" w:rsidR="00F27FCE" w:rsidRPr="00F27FCE" w:rsidRDefault="00F04697" w:rsidP="00E33852">
      <w:pPr>
        <w:pStyle w:val="Bodycopy"/>
        <w:spacing w:line="240" w:lineRule="auto"/>
        <w:jc w:val="left"/>
      </w:pPr>
      <w:r w:rsidRPr="001826F0">
        <w:rPr>
          <w:sz w:val="20"/>
          <w:szCs w:val="20"/>
        </w:rPr>
        <w:t>The information produced by ReturnToWorkSA in this publication is correct at the time of printing and is provided as general information only</w:t>
      </w:r>
      <w:r w:rsidR="007E5425">
        <w:rPr>
          <w:sz w:val="20"/>
          <w:szCs w:val="20"/>
        </w:rPr>
        <w:t xml:space="preserve"> and not as legal advice</w:t>
      </w:r>
      <w:r w:rsidRPr="001826F0">
        <w:rPr>
          <w:sz w:val="20"/>
          <w:szCs w:val="20"/>
        </w:rPr>
        <w:t>. In utilising general information about workplace health and safety and work injury management, the specific issues relevant to your workplace should always be considered</w:t>
      </w:r>
      <w:r w:rsidR="007E5425">
        <w:rPr>
          <w:sz w:val="20"/>
          <w:szCs w:val="20"/>
        </w:rPr>
        <w:t xml:space="preserve"> and advice obtained</w:t>
      </w:r>
      <w:r w:rsidRPr="001826F0">
        <w:rPr>
          <w:sz w:val="20"/>
          <w:szCs w:val="20"/>
        </w:rPr>
        <w:t xml:space="preserve">. This publication is not intended as a substitute for the requirements of the </w:t>
      </w:r>
      <w:r w:rsidRPr="001826F0">
        <w:rPr>
          <w:i/>
          <w:iCs/>
          <w:sz w:val="20"/>
          <w:szCs w:val="20"/>
        </w:rPr>
        <w:t xml:space="preserve">Return to Work Act 2014 </w:t>
      </w:r>
      <w:r w:rsidRPr="001826F0">
        <w:rPr>
          <w:sz w:val="20"/>
          <w:szCs w:val="20"/>
        </w:rPr>
        <w:t xml:space="preserve">or the </w:t>
      </w:r>
      <w:r w:rsidRPr="001826F0">
        <w:rPr>
          <w:i/>
          <w:iCs/>
          <w:sz w:val="20"/>
          <w:szCs w:val="20"/>
        </w:rPr>
        <w:t>Work Health and Safety Act 2012.</w:t>
      </w:r>
    </w:p>
    <w:sectPr w:rsidR="00F27FCE" w:rsidRPr="00F27FCE" w:rsidSect="00E33852">
      <w:type w:val="continuous"/>
      <w:pgSz w:w="11900" w:h="16840" w:code="9"/>
      <w:pgMar w:top="238" w:right="709" w:bottom="249" w:left="709" w:header="794" w:footer="737" w:gutter="0"/>
      <w:cols w:space="67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FB688" w14:textId="77777777" w:rsidR="003C413A" w:rsidRDefault="003C413A" w:rsidP="00365C6A">
      <w:r>
        <w:separator/>
      </w:r>
    </w:p>
  </w:endnote>
  <w:endnote w:type="continuationSeparator" w:id="0">
    <w:p w14:paraId="74406E1D" w14:textId="77777777" w:rsidR="003C413A" w:rsidRDefault="003C413A" w:rsidP="0036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703030403020204"/>
    <w:charset w:val="00"/>
    <w:family w:val="swiss"/>
    <w:pitch w:val="variable"/>
    <w:sig w:usb0="20000007" w:usb1="00000001" w:usb2="00000000" w:usb3="00000000" w:csb0="00000193" w:csb1="00000000"/>
  </w:font>
  <w:font w:name="MS Mincho">
    <w:altName w:val="ＭＳ 明朝"/>
    <w:panose1 w:val="02020609040205080304"/>
    <w:charset w:val="80"/>
    <w:family w:val="modern"/>
    <w:pitch w:val="fixed"/>
    <w:sig w:usb0="E00002FF" w:usb1="6AC7FDFB" w:usb2="00000012" w:usb3="00000000" w:csb0="0002009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Light">
    <w:altName w:val="Calibri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3AA87" w14:textId="77777777" w:rsidR="00140E6B" w:rsidRDefault="00F35C2B" w:rsidP="00E27E27">
    <w:pPr>
      <w:pStyle w:val="Footer"/>
      <w:jc w:val="center"/>
    </w:pPr>
    <w:r>
      <w:rPr>
        <w:noProof/>
        <w:lang w:val="en-AU" w:eastAsia="en-AU"/>
      </w:rPr>
      <w:drawing>
        <wp:inline distT="0" distB="0" distL="0" distR="0" wp14:anchorId="6785267A" wp14:editId="7A2200DD">
          <wp:extent cx="6548120" cy="4927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p2.jpg"/>
                  <pic:cNvPicPr/>
                </pic:nvPicPr>
                <pic:blipFill>
                  <a:blip r:embed="rId1">
                    <a:extLst>
                      <a:ext uri="{28A0092B-C50C-407E-A947-70E740481C1C}">
                        <a14:useLocalDpi xmlns:a14="http://schemas.microsoft.com/office/drawing/2010/main" val="0"/>
                      </a:ext>
                    </a:extLst>
                  </a:blip>
                  <a:stretch>
                    <a:fillRect/>
                  </a:stretch>
                </pic:blipFill>
                <pic:spPr>
                  <a:xfrm>
                    <a:off x="0" y="0"/>
                    <a:ext cx="6548120" cy="49276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960DB" w14:textId="77777777" w:rsidR="00101217" w:rsidRDefault="00F35C2B" w:rsidP="00E42687">
    <w:pPr>
      <w:pStyle w:val="Footer"/>
      <w:jc w:val="center"/>
    </w:pPr>
    <w:r>
      <w:rPr>
        <w:noProof/>
        <w:lang w:val="en-AU" w:eastAsia="en-AU"/>
      </w:rPr>
      <w:drawing>
        <wp:inline distT="0" distB="0" distL="0" distR="0" wp14:anchorId="79BEB17C" wp14:editId="23ABE459">
          <wp:extent cx="6548120" cy="57848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p1.jpg"/>
                  <pic:cNvPicPr/>
                </pic:nvPicPr>
                <pic:blipFill>
                  <a:blip r:embed="rId1">
                    <a:extLst>
                      <a:ext uri="{28A0092B-C50C-407E-A947-70E740481C1C}">
                        <a14:useLocalDpi xmlns:a14="http://schemas.microsoft.com/office/drawing/2010/main" val="0"/>
                      </a:ext>
                    </a:extLst>
                  </a:blip>
                  <a:stretch>
                    <a:fillRect/>
                  </a:stretch>
                </pic:blipFill>
                <pic:spPr>
                  <a:xfrm>
                    <a:off x="0" y="0"/>
                    <a:ext cx="6548120" cy="57848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BE608" w14:textId="77777777" w:rsidR="003C413A" w:rsidRDefault="003C413A" w:rsidP="00365C6A">
      <w:r>
        <w:separator/>
      </w:r>
    </w:p>
  </w:footnote>
  <w:footnote w:type="continuationSeparator" w:id="0">
    <w:p w14:paraId="0284E8EC" w14:textId="77777777" w:rsidR="003C413A" w:rsidRDefault="003C413A" w:rsidP="00365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5ABF6" w14:textId="77777777" w:rsidR="00101217" w:rsidRDefault="00F35C2B" w:rsidP="00D074B6">
    <w:pPr>
      <w:pStyle w:val="Header"/>
      <w:jc w:val="center"/>
    </w:pPr>
    <w:r>
      <w:rPr>
        <w:noProof/>
        <w:lang w:val="en-AU" w:eastAsia="en-AU"/>
      </w:rPr>
      <w:drawing>
        <wp:inline distT="0" distB="0" distL="0" distR="0" wp14:anchorId="058829BB" wp14:editId="53B59FC2">
          <wp:extent cx="6548120" cy="82804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header small.jpg"/>
                  <pic:cNvPicPr/>
                </pic:nvPicPr>
                <pic:blipFill>
                  <a:blip r:embed="rId1">
                    <a:extLst>
                      <a:ext uri="{28A0092B-C50C-407E-A947-70E740481C1C}">
                        <a14:useLocalDpi xmlns:a14="http://schemas.microsoft.com/office/drawing/2010/main" val="0"/>
                      </a:ext>
                    </a:extLst>
                  </a:blip>
                  <a:stretch>
                    <a:fillRect/>
                  </a:stretch>
                </pic:blipFill>
                <pic:spPr>
                  <a:xfrm>
                    <a:off x="0" y="0"/>
                    <a:ext cx="6548120" cy="8280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C257B78"/>
    <w:multiLevelType w:val="hybridMultilevel"/>
    <w:tmpl w:val="97144E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FCE"/>
    <w:rsid w:val="000545D7"/>
    <w:rsid w:val="000824B2"/>
    <w:rsid w:val="000C706D"/>
    <w:rsid w:val="000D3EAD"/>
    <w:rsid w:val="000F5096"/>
    <w:rsid w:val="00101217"/>
    <w:rsid w:val="00112900"/>
    <w:rsid w:val="001327FF"/>
    <w:rsid w:val="00140E6B"/>
    <w:rsid w:val="00173249"/>
    <w:rsid w:val="00184278"/>
    <w:rsid w:val="001873DB"/>
    <w:rsid w:val="00195455"/>
    <w:rsid w:val="001E25C6"/>
    <w:rsid w:val="00221920"/>
    <w:rsid w:val="002552CC"/>
    <w:rsid w:val="00280EC5"/>
    <w:rsid w:val="002935F5"/>
    <w:rsid w:val="002A0B64"/>
    <w:rsid w:val="002A5937"/>
    <w:rsid w:val="002E0126"/>
    <w:rsid w:val="00332233"/>
    <w:rsid w:val="00365C6A"/>
    <w:rsid w:val="00384379"/>
    <w:rsid w:val="003B6433"/>
    <w:rsid w:val="003C413A"/>
    <w:rsid w:val="003F197A"/>
    <w:rsid w:val="00446E3B"/>
    <w:rsid w:val="004B756B"/>
    <w:rsid w:val="004C0D84"/>
    <w:rsid w:val="00500305"/>
    <w:rsid w:val="00516F8A"/>
    <w:rsid w:val="00522391"/>
    <w:rsid w:val="00531BC0"/>
    <w:rsid w:val="005330C7"/>
    <w:rsid w:val="00567862"/>
    <w:rsid w:val="00585A81"/>
    <w:rsid w:val="005E5DAA"/>
    <w:rsid w:val="006741C9"/>
    <w:rsid w:val="0067696D"/>
    <w:rsid w:val="00677B28"/>
    <w:rsid w:val="0068158A"/>
    <w:rsid w:val="00697756"/>
    <w:rsid w:val="00697EB6"/>
    <w:rsid w:val="006B0A8C"/>
    <w:rsid w:val="006B2A45"/>
    <w:rsid w:val="006D7A0E"/>
    <w:rsid w:val="00734A13"/>
    <w:rsid w:val="007A5C13"/>
    <w:rsid w:val="007E5425"/>
    <w:rsid w:val="008135B0"/>
    <w:rsid w:val="00872A9C"/>
    <w:rsid w:val="008B253F"/>
    <w:rsid w:val="008D5F4A"/>
    <w:rsid w:val="00920F0C"/>
    <w:rsid w:val="00954BBA"/>
    <w:rsid w:val="009559CA"/>
    <w:rsid w:val="009A49B9"/>
    <w:rsid w:val="00A16F70"/>
    <w:rsid w:val="00A23263"/>
    <w:rsid w:val="00AA5A66"/>
    <w:rsid w:val="00B0617E"/>
    <w:rsid w:val="00B23400"/>
    <w:rsid w:val="00B445B8"/>
    <w:rsid w:val="00B6738A"/>
    <w:rsid w:val="00BF6BBF"/>
    <w:rsid w:val="00C051EB"/>
    <w:rsid w:val="00C10EC7"/>
    <w:rsid w:val="00C13A5F"/>
    <w:rsid w:val="00C209B4"/>
    <w:rsid w:val="00C365A6"/>
    <w:rsid w:val="00C67E1D"/>
    <w:rsid w:val="00C7791F"/>
    <w:rsid w:val="00CE11E9"/>
    <w:rsid w:val="00CE5996"/>
    <w:rsid w:val="00D074B6"/>
    <w:rsid w:val="00D1171E"/>
    <w:rsid w:val="00D400F2"/>
    <w:rsid w:val="00D467E4"/>
    <w:rsid w:val="00D4773F"/>
    <w:rsid w:val="00D54FF1"/>
    <w:rsid w:val="00D60C97"/>
    <w:rsid w:val="00DD0D58"/>
    <w:rsid w:val="00E01E86"/>
    <w:rsid w:val="00E13D29"/>
    <w:rsid w:val="00E27E27"/>
    <w:rsid w:val="00E33852"/>
    <w:rsid w:val="00E42687"/>
    <w:rsid w:val="00EA46FB"/>
    <w:rsid w:val="00EF6CD6"/>
    <w:rsid w:val="00F04697"/>
    <w:rsid w:val="00F27FCE"/>
    <w:rsid w:val="00F3195B"/>
    <w:rsid w:val="00F35C2B"/>
    <w:rsid w:val="00F74F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B48E5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73F"/>
    <w:pPr>
      <w:widowControl w:val="0"/>
      <w:suppressAutoHyphens/>
      <w:autoSpaceDE w:val="0"/>
      <w:autoSpaceDN w:val="0"/>
      <w:adjustRightInd w:val="0"/>
      <w:spacing w:line="360" w:lineRule="atLeast"/>
      <w:jc w:val="both"/>
      <w:textAlignment w:val="center"/>
    </w:pPr>
    <w:rPr>
      <w:rFonts w:ascii="Source Sans Pro" w:hAnsi="Source Sans Pro" w:cs="SourceSansPro-Light"/>
      <w:color w:val="000000"/>
      <w:sz w:val="22"/>
      <w:szCs w:val="22"/>
      <w:lang w:val="en-US"/>
    </w:rPr>
  </w:style>
  <w:style w:type="paragraph" w:styleId="Heading1">
    <w:name w:val="heading 1"/>
    <w:basedOn w:val="Heading2"/>
    <w:next w:val="Normal"/>
    <w:link w:val="Heading1Char"/>
    <w:uiPriority w:val="1"/>
    <w:qFormat/>
    <w:rsid w:val="00D4773F"/>
    <w:pPr>
      <w:spacing w:before="0"/>
      <w:outlineLvl w:val="0"/>
    </w:pPr>
    <w:rPr>
      <w:b w:val="0"/>
      <w:color w:val="A21C26"/>
      <w:sz w:val="56"/>
    </w:rPr>
  </w:style>
  <w:style w:type="paragraph" w:styleId="Heading2">
    <w:name w:val="heading 2"/>
    <w:basedOn w:val="Heading3"/>
    <w:next w:val="Normal"/>
    <w:link w:val="Heading2Char"/>
    <w:uiPriority w:val="1"/>
    <w:unhideWhenUsed/>
    <w:qFormat/>
    <w:rsid w:val="00D4773F"/>
    <w:pPr>
      <w:outlineLvl w:val="1"/>
    </w:pPr>
    <w:rPr>
      <w:color w:val="auto"/>
      <w:sz w:val="26"/>
    </w:rPr>
  </w:style>
  <w:style w:type="paragraph" w:styleId="Heading3">
    <w:name w:val="heading 3"/>
    <w:basedOn w:val="Normal"/>
    <w:next w:val="Normal"/>
    <w:link w:val="Heading3Char"/>
    <w:uiPriority w:val="9"/>
    <w:unhideWhenUsed/>
    <w:qFormat/>
    <w:rsid w:val="00D4773F"/>
    <w:pPr>
      <w:spacing w:before="200"/>
      <w:jc w:val="left"/>
      <w:outlineLvl w:val="2"/>
    </w:pPr>
    <w:rPr>
      <w:b/>
      <w:color w:val="56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C051EB"/>
    <w:pPr>
      <w:tabs>
        <w:tab w:val="center" w:pos="4320"/>
        <w:tab w:val="right" w:pos="8640"/>
      </w:tabs>
    </w:pPr>
  </w:style>
  <w:style w:type="character" w:customStyle="1" w:styleId="FooterChar">
    <w:name w:val="Footer Char"/>
    <w:basedOn w:val="DefaultParagraphFont"/>
    <w:link w:val="Footer"/>
    <w:uiPriority w:val="99"/>
    <w:rsid w:val="00C051EB"/>
  </w:style>
  <w:style w:type="paragraph" w:styleId="BalloonText">
    <w:name w:val="Balloon Text"/>
    <w:basedOn w:val="Normal"/>
    <w:link w:val="BalloonTextChar"/>
    <w:uiPriority w:val="99"/>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spacing w:line="640" w:lineRule="atLeast"/>
    </w:pPr>
    <w:rPr>
      <w:rFonts w:ascii="SourceSansPro-Light" w:hAnsi="SourceSansPro-Light"/>
      <w:color w:val="97252C"/>
      <w:sz w:val="56"/>
      <w:szCs w:val="56"/>
    </w:rPr>
  </w:style>
  <w:style w:type="paragraph" w:customStyle="1" w:styleId="Bodycopy">
    <w:name w:val="Body copy"/>
    <w:basedOn w:val="Normal"/>
    <w:uiPriority w:val="1"/>
    <w:qFormat/>
    <w:rsid w:val="00D4773F"/>
  </w:style>
  <w:style w:type="paragraph" w:styleId="Title">
    <w:name w:val="Title"/>
    <w:basedOn w:val="MainHeader"/>
    <w:next w:val="Normal"/>
    <w:link w:val="TitleChar"/>
    <w:uiPriority w:val="10"/>
    <w:rsid w:val="00954BBA"/>
    <w:pPr>
      <w:spacing w:line="240" w:lineRule="auto"/>
    </w:pPr>
    <w:rPr>
      <w:rFonts w:ascii="Source Sans Pro" w:hAnsi="Source Sans Pro"/>
      <w:color w:val="B2031D"/>
    </w:rPr>
  </w:style>
  <w:style w:type="character" w:customStyle="1" w:styleId="TitleChar">
    <w:name w:val="Title Char"/>
    <w:basedOn w:val="DefaultParagraphFont"/>
    <w:link w:val="Title"/>
    <w:uiPriority w:val="10"/>
    <w:rsid w:val="00954BBA"/>
    <w:rPr>
      <w:rFonts w:ascii="Source Sans Pro" w:hAnsi="Source Sans Pro" w:cs="SourceSansPro-Light"/>
      <w:color w:val="B2031D"/>
      <w:sz w:val="56"/>
      <w:szCs w:val="56"/>
      <w:lang w:val="en-US"/>
    </w:rPr>
  </w:style>
  <w:style w:type="character" w:customStyle="1" w:styleId="Heading1Char">
    <w:name w:val="Heading 1 Char"/>
    <w:basedOn w:val="DefaultParagraphFont"/>
    <w:link w:val="Heading1"/>
    <w:uiPriority w:val="1"/>
    <w:rsid w:val="00D4773F"/>
    <w:rPr>
      <w:rFonts w:ascii="Source Sans Pro" w:hAnsi="Source Sans Pro" w:cs="SourceSansPro-Light"/>
      <w:color w:val="A21C26"/>
      <w:sz w:val="56"/>
      <w:szCs w:val="22"/>
      <w:lang w:val="en-US"/>
    </w:rPr>
  </w:style>
  <w:style w:type="paragraph" w:styleId="Subtitle">
    <w:name w:val="Subtitle"/>
    <w:basedOn w:val="Normal"/>
    <w:next w:val="Normal"/>
    <w:link w:val="SubtitleChar"/>
    <w:uiPriority w:val="11"/>
    <w:qFormat/>
    <w:rsid w:val="00C13A5F"/>
    <w:rPr>
      <w:i/>
      <w:color w:val="56565A"/>
    </w:rPr>
  </w:style>
  <w:style w:type="character" w:customStyle="1" w:styleId="SubtitleChar">
    <w:name w:val="Subtitle Char"/>
    <w:basedOn w:val="DefaultParagraphFont"/>
    <w:link w:val="Subtitle"/>
    <w:uiPriority w:val="11"/>
    <w:rsid w:val="00C13A5F"/>
    <w:rPr>
      <w:rFonts w:ascii="Source Sans Pro" w:hAnsi="Source Sans Pro" w:cs="SourceSansPro-Light"/>
      <w:i/>
      <w:color w:val="56565A"/>
      <w:sz w:val="20"/>
      <w:szCs w:val="20"/>
      <w:lang w:val="en-US"/>
    </w:rPr>
  </w:style>
  <w:style w:type="character" w:customStyle="1" w:styleId="Heading2Char">
    <w:name w:val="Heading 2 Char"/>
    <w:basedOn w:val="DefaultParagraphFont"/>
    <w:link w:val="Heading2"/>
    <w:uiPriority w:val="1"/>
    <w:rsid w:val="00D4773F"/>
    <w:rPr>
      <w:rFonts w:ascii="Source Sans Pro" w:hAnsi="Source Sans Pro" w:cs="SourceSansPro-Light"/>
      <w:b/>
      <w:sz w:val="26"/>
      <w:szCs w:val="22"/>
      <w:lang w:val="en-US"/>
    </w:rPr>
  </w:style>
  <w:style w:type="character" w:customStyle="1" w:styleId="Heading3Char">
    <w:name w:val="Heading 3 Char"/>
    <w:basedOn w:val="DefaultParagraphFont"/>
    <w:link w:val="Heading3"/>
    <w:uiPriority w:val="9"/>
    <w:rsid w:val="00D4773F"/>
    <w:rPr>
      <w:rFonts w:ascii="Source Sans Pro" w:hAnsi="Source Sans Pro" w:cs="SourceSansPro-Light"/>
      <w:b/>
      <w:color w:val="56565A"/>
      <w:sz w:val="22"/>
      <w:szCs w:val="22"/>
      <w:lang w:val="en-US"/>
    </w:rPr>
  </w:style>
  <w:style w:type="paragraph" w:styleId="Quote">
    <w:name w:val="Quote"/>
    <w:basedOn w:val="Normal"/>
    <w:next w:val="Normal"/>
    <w:link w:val="QuoteChar"/>
    <w:uiPriority w:val="29"/>
    <w:qFormat/>
    <w:rsid w:val="00A23263"/>
    <w:rPr>
      <w:i/>
      <w:iCs/>
      <w:color w:val="000000" w:themeColor="text1"/>
    </w:rPr>
  </w:style>
  <w:style w:type="character" w:customStyle="1" w:styleId="QuoteChar">
    <w:name w:val="Quote Char"/>
    <w:basedOn w:val="DefaultParagraphFont"/>
    <w:link w:val="Quote"/>
    <w:uiPriority w:val="29"/>
    <w:rsid w:val="00A23263"/>
    <w:rPr>
      <w:rFonts w:ascii="Source Sans Pro" w:hAnsi="Source Sans Pro" w:cs="SourceSansPro-Light"/>
      <w:i/>
      <w:iCs/>
      <w:color w:val="000000" w:themeColor="text1"/>
      <w:sz w:val="20"/>
      <w:szCs w:val="20"/>
      <w:lang w:val="en-US"/>
    </w:rPr>
  </w:style>
  <w:style w:type="character" w:styleId="IntenseEmphasis">
    <w:name w:val="Intense Emphasis"/>
    <w:basedOn w:val="DefaultParagraphFont"/>
    <w:uiPriority w:val="21"/>
    <w:qFormat/>
    <w:rsid w:val="00A23263"/>
    <w:rPr>
      <w:rFonts w:ascii="Source Sans Pro" w:hAnsi="Source Sans Pro"/>
      <w:b/>
      <w:bCs/>
      <w:i/>
      <w:iCs/>
      <w:color w:val="C10E02"/>
      <w:sz w:val="20"/>
    </w:rPr>
  </w:style>
  <w:style w:type="character" w:styleId="SubtleEmphasis">
    <w:name w:val="Subtle Emphasis"/>
    <w:basedOn w:val="DefaultParagraphFont"/>
    <w:uiPriority w:val="19"/>
    <w:qFormat/>
    <w:rsid w:val="00A23263"/>
    <w:rPr>
      <w:rFonts w:ascii="Source Sans Pro" w:hAnsi="Source Sans Pro"/>
      <w:i/>
      <w:iCs/>
      <w:color w:val="808080" w:themeColor="text1" w:themeTint="7F"/>
      <w:sz w:val="20"/>
    </w:rPr>
  </w:style>
  <w:style w:type="paragraph" w:styleId="IntenseQuote">
    <w:name w:val="Intense Quote"/>
    <w:basedOn w:val="Normal"/>
    <w:next w:val="Normal"/>
    <w:link w:val="IntenseQuoteChar"/>
    <w:uiPriority w:val="30"/>
    <w:qFormat/>
    <w:rsid w:val="00A23263"/>
    <w:pPr>
      <w:pBdr>
        <w:bottom w:val="single" w:sz="4" w:space="4" w:color="A21C26" w:themeColor="accent1"/>
      </w:pBdr>
      <w:spacing w:before="200" w:after="280"/>
      <w:ind w:left="936" w:right="936"/>
    </w:pPr>
    <w:rPr>
      <w:b/>
      <w:bCs/>
      <w:i/>
      <w:iCs/>
      <w:color w:val="C10E02"/>
    </w:rPr>
  </w:style>
  <w:style w:type="character" w:customStyle="1" w:styleId="IntenseQuoteChar">
    <w:name w:val="Intense Quote Char"/>
    <w:basedOn w:val="DefaultParagraphFont"/>
    <w:link w:val="IntenseQuote"/>
    <w:uiPriority w:val="30"/>
    <w:rsid w:val="00A23263"/>
    <w:rPr>
      <w:rFonts w:ascii="Source Sans Pro" w:hAnsi="Source Sans Pro" w:cs="SourceSansPro-Light"/>
      <w:b/>
      <w:bCs/>
      <w:i/>
      <w:iCs/>
      <w:color w:val="C10E02"/>
      <w:sz w:val="20"/>
      <w:szCs w:val="20"/>
      <w:lang w:val="en-US"/>
    </w:rPr>
  </w:style>
  <w:style w:type="character" w:styleId="SubtleReference">
    <w:name w:val="Subtle Reference"/>
    <w:basedOn w:val="DefaultParagraphFont"/>
    <w:uiPriority w:val="31"/>
    <w:qFormat/>
    <w:rsid w:val="00CE5996"/>
    <w:rPr>
      <w:rFonts w:ascii="Source Sans Pro" w:hAnsi="Source Sans Pro"/>
      <w:smallCaps/>
      <w:color w:val="C10E02"/>
      <w:u w:val="single"/>
    </w:rPr>
  </w:style>
  <w:style w:type="character" w:styleId="IntenseReference">
    <w:name w:val="Intense Reference"/>
    <w:basedOn w:val="DefaultParagraphFont"/>
    <w:uiPriority w:val="32"/>
    <w:qFormat/>
    <w:rsid w:val="00CE5996"/>
    <w:rPr>
      <w:rFonts w:ascii="Source Sans Pro" w:hAnsi="Source Sans Pro"/>
      <w:b/>
      <w:bCs/>
      <w:smallCaps/>
      <w:color w:val="56565A"/>
      <w:spacing w:val="5"/>
      <w:sz w:val="20"/>
      <w:u w:val="single"/>
    </w:rPr>
  </w:style>
  <w:style w:type="paragraph" w:customStyle="1" w:styleId="Numbers">
    <w:name w:val="Numbers"/>
    <w:basedOn w:val="Bodycopy"/>
    <w:uiPriority w:val="1"/>
    <w:qFormat/>
    <w:rsid w:val="00D4773F"/>
    <w:pPr>
      <w:numPr>
        <w:numId w:val="2"/>
      </w:numPr>
      <w:ind w:left="426" w:hanging="426"/>
    </w:pPr>
    <w:rPr>
      <w:szCs w:val="20"/>
    </w:rPr>
  </w:style>
  <w:style w:type="paragraph" w:customStyle="1" w:styleId="Bullets">
    <w:name w:val="Bullets"/>
    <w:basedOn w:val="Bodycopy"/>
    <w:uiPriority w:val="1"/>
    <w:qFormat/>
    <w:rsid w:val="00D4773F"/>
    <w:pPr>
      <w:numPr>
        <w:numId w:val="1"/>
      </w:numPr>
    </w:pPr>
    <w:rPr>
      <w:szCs w:val="20"/>
    </w:rPr>
  </w:style>
  <w:style w:type="character" w:styleId="Hyperlink">
    <w:name w:val="Hyperlink"/>
    <w:basedOn w:val="DefaultParagraphFont"/>
    <w:uiPriority w:val="99"/>
    <w:unhideWhenUsed/>
    <w:rsid w:val="00D4773F"/>
    <w:rPr>
      <w:color w:val="A21C26"/>
      <w:u w:val="single"/>
    </w:rPr>
  </w:style>
  <w:style w:type="table" w:customStyle="1" w:styleId="RTWSATable">
    <w:name w:val="RTWSA Table"/>
    <w:basedOn w:val="TableNormal"/>
    <w:uiPriority w:val="99"/>
    <w:rsid w:val="001E25C6"/>
    <w:tblPr>
      <w:tblStyleRowBandSize w:val="1"/>
      <w:tblInd w:w="0" w:type="dxa"/>
      <w:tblBorders>
        <w:top w:val="single" w:sz="4" w:space="0" w:color="A21C26"/>
        <w:left w:val="single" w:sz="4" w:space="0" w:color="A21C26"/>
        <w:bottom w:val="single" w:sz="4" w:space="0" w:color="A21C26"/>
        <w:right w:val="single" w:sz="4" w:space="0" w:color="A21C26"/>
      </w:tblBorders>
      <w:tblCellMar>
        <w:top w:w="0" w:type="dxa"/>
        <w:left w:w="108" w:type="dxa"/>
        <w:bottom w:w="0" w:type="dxa"/>
        <w:right w:w="108" w:type="dxa"/>
      </w:tblCellMar>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paragraph" w:customStyle="1" w:styleId="TableHeading">
    <w:name w:val="Table Heading"/>
    <w:basedOn w:val="Bodycopy"/>
    <w:uiPriority w:val="1"/>
    <w:rsid w:val="00D4773F"/>
    <w:rPr>
      <w:color w:val="FFFFFF" w:themeColor="background1"/>
      <w:szCs w:val="20"/>
    </w:rPr>
  </w:style>
  <w:style w:type="table" w:styleId="TableGrid">
    <w:name w:val="Table Grid"/>
    <w:basedOn w:val="TableNormal"/>
    <w:uiPriority w:val="59"/>
    <w:rsid w:val="001E25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F27FCE"/>
    <w:rPr>
      <w:sz w:val="16"/>
      <w:szCs w:val="16"/>
    </w:rPr>
  </w:style>
  <w:style w:type="paragraph" w:styleId="CommentText">
    <w:name w:val="annotation text"/>
    <w:basedOn w:val="Normal"/>
    <w:link w:val="CommentTextChar"/>
    <w:semiHidden/>
    <w:unhideWhenUsed/>
    <w:rsid w:val="00F27FCE"/>
    <w:pPr>
      <w:widowControl/>
      <w:suppressAutoHyphens w:val="0"/>
      <w:autoSpaceDE/>
      <w:autoSpaceDN/>
      <w:adjustRightInd/>
      <w:spacing w:line="240" w:lineRule="auto"/>
      <w:textAlignment w:val="auto"/>
    </w:pPr>
    <w:rPr>
      <w:rFonts w:asciiTheme="minorHAnsi" w:hAnsiTheme="minorHAnsi" w:cstheme="minorBidi"/>
      <w:color w:val="auto"/>
      <w:sz w:val="20"/>
      <w:szCs w:val="20"/>
      <w:lang w:val="en-AU"/>
    </w:rPr>
  </w:style>
  <w:style w:type="character" w:customStyle="1" w:styleId="CommentTextChar">
    <w:name w:val="Comment Text Char"/>
    <w:basedOn w:val="DefaultParagraphFont"/>
    <w:link w:val="CommentText"/>
    <w:semiHidden/>
    <w:rsid w:val="00F27FCE"/>
    <w:rPr>
      <w:sz w:val="20"/>
      <w:szCs w:val="20"/>
    </w:rPr>
  </w:style>
  <w:style w:type="paragraph" w:customStyle="1" w:styleId="TOCHeader">
    <w:name w:val="TOC Header"/>
    <w:basedOn w:val="Normal"/>
    <w:uiPriority w:val="1"/>
    <w:rsid w:val="00F27FCE"/>
    <w:pPr>
      <w:spacing w:line="640" w:lineRule="atLeast"/>
      <w:jc w:val="right"/>
    </w:pPr>
    <w:rPr>
      <w:rFonts w:cs="Calibri-Light"/>
      <w:color w:val="A21C26"/>
      <w:sz w:val="56"/>
      <w:szCs w:val="56"/>
    </w:rPr>
  </w:style>
  <w:style w:type="paragraph" w:customStyle="1" w:styleId="MainHeadingCover">
    <w:name w:val="Main Heading Cover"/>
    <w:basedOn w:val="Normal"/>
    <w:uiPriority w:val="1"/>
    <w:rsid w:val="00F27FCE"/>
    <w:pPr>
      <w:widowControl/>
      <w:suppressAutoHyphens w:val="0"/>
      <w:autoSpaceDE/>
      <w:autoSpaceDN/>
      <w:adjustRightInd/>
      <w:spacing w:line="720" w:lineRule="exact"/>
      <w:jc w:val="left"/>
      <w:textAlignment w:val="auto"/>
    </w:pPr>
    <w:rPr>
      <w:rFonts w:cstheme="minorBidi"/>
      <w:color w:val="56565A"/>
      <w:sz w:val="72"/>
      <w:szCs w:val="72"/>
      <w:lang w:val="en-AU"/>
    </w:rPr>
  </w:style>
  <w:style w:type="paragraph" w:customStyle="1" w:styleId="SubheadingCover">
    <w:name w:val="Subheading Cover"/>
    <w:basedOn w:val="Normal"/>
    <w:uiPriority w:val="1"/>
    <w:rsid w:val="00F27FCE"/>
    <w:pPr>
      <w:widowControl/>
      <w:suppressAutoHyphens w:val="0"/>
      <w:autoSpaceDE/>
      <w:autoSpaceDN/>
      <w:adjustRightInd/>
      <w:spacing w:line="720" w:lineRule="exact"/>
      <w:jc w:val="left"/>
      <w:textAlignment w:val="auto"/>
    </w:pPr>
    <w:rPr>
      <w:rFonts w:cstheme="minorBidi"/>
      <w:color w:val="56565A"/>
      <w:szCs w:val="24"/>
      <w:lang w:val="en-AU"/>
    </w:rPr>
  </w:style>
  <w:style w:type="paragraph" w:styleId="TOC1">
    <w:name w:val="toc 1"/>
    <w:basedOn w:val="Normal"/>
    <w:next w:val="Normal"/>
    <w:autoRedefine/>
    <w:uiPriority w:val="39"/>
    <w:unhideWhenUsed/>
    <w:rsid w:val="00F27FCE"/>
    <w:pPr>
      <w:widowControl/>
      <w:tabs>
        <w:tab w:val="right" w:leader="dot" w:pos="10359"/>
      </w:tabs>
      <w:suppressAutoHyphens w:val="0"/>
      <w:autoSpaceDE/>
      <w:autoSpaceDN/>
      <w:adjustRightInd/>
      <w:spacing w:before="113" w:line="500" w:lineRule="atLeast"/>
      <w:textAlignment w:val="auto"/>
    </w:pPr>
    <w:rPr>
      <w:rFonts w:cstheme="minorBidi"/>
      <w:color w:val="auto"/>
      <w:sz w:val="28"/>
      <w:szCs w:val="24"/>
      <w:lang w:val="en-AU"/>
    </w:rPr>
  </w:style>
  <w:style w:type="paragraph" w:styleId="TOC2">
    <w:name w:val="toc 2"/>
    <w:basedOn w:val="Normal"/>
    <w:next w:val="Normal"/>
    <w:autoRedefine/>
    <w:uiPriority w:val="39"/>
    <w:unhideWhenUsed/>
    <w:rsid w:val="00F27FCE"/>
    <w:pPr>
      <w:widowControl/>
      <w:tabs>
        <w:tab w:val="right" w:leader="dot" w:pos="10359"/>
      </w:tabs>
      <w:suppressAutoHyphens w:val="0"/>
      <w:autoSpaceDE/>
      <w:autoSpaceDN/>
      <w:adjustRightInd/>
      <w:spacing w:line="440" w:lineRule="atLeast"/>
      <w:ind w:left="238"/>
      <w:textAlignment w:val="auto"/>
    </w:pPr>
    <w:rPr>
      <w:rFonts w:cstheme="minorBidi"/>
      <w:noProof/>
      <w:color w:val="auto"/>
      <w:szCs w:val="24"/>
      <w:lang w:val="en-AU"/>
    </w:rPr>
  </w:style>
  <w:style w:type="paragraph" w:styleId="TOCHeading">
    <w:name w:val="TOC Heading"/>
    <w:basedOn w:val="Heading1"/>
    <w:next w:val="Normal"/>
    <w:uiPriority w:val="39"/>
    <w:unhideWhenUsed/>
    <w:qFormat/>
    <w:rsid w:val="000D3EAD"/>
    <w:pPr>
      <w:keepNext/>
      <w:keepLines/>
      <w:widowControl/>
      <w:suppressAutoHyphens w:val="0"/>
      <w:autoSpaceDE/>
      <w:autoSpaceDN/>
      <w:adjustRightInd/>
      <w:spacing w:before="480" w:line="276" w:lineRule="auto"/>
      <w:textAlignment w:val="auto"/>
      <w:outlineLvl w:val="9"/>
    </w:pPr>
    <w:rPr>
      <w:rFonts w:asciiTheme="majorHAnsi" w:eastAsiaTheme="majorEastAsia" w:hAnsiTheme="majorHAnsi" w:cstheme="majorBidi"/>
      <w:b/>
      <w:bCs/>
      <w:color w:val="79151C" w:themeColor="accent1" w:themeShade="BF"/>
      <w:sz w:val="28"/>
      <w:szCs w:val="28"/>
      <w:lang w:eastAsia="ja-JP"/>
    </w:rPr>
  </w:style>
  <w:style w:type="paragraph" w:styleId="CommentSubject">
    <w:name w:val="annotation subject"/>
    <w:basedOn w:val="CommentText"/>
    <w:next w:val="CommentText"/>
    <w:link w:val="CommentSubjectChar"/>
    <w:uiPriority w:val="99"/>
    <w:semiHidden/>
    <w:unhideWhenUsed/>
    <w:rsid w:val="00E01E86"/>
    <w:pPr>
      <w:widowControl w:val="0"/>
      <w:suppressAutoHyphens/>
      <w:autoSpaceDE w:val="0"/>
      <w:autoSpaceDN w:val="0"/>
      <w:adjustRightInd w:val="0"/>
      <w:textAlignment w:val="center"/>
    </w:pPr>
    <w:rPr>
      <w:rFonts w:ascii="Source Sans Pro" w:hAnsi="Source Sans Pro" w:cs="SourceSansPro-Light"/>
      <w:b/>
      <w:bCs/>
      <w:color w:val="000000"/>
      <w:lang w:val="en-US"/>
    </w:rPr>
  </w:style>
  <w:style w:type="character" w:customStyle="1" w:styleId="CommentSubjectChar">
    <w:name w:val="Comment Subject Char"/>
    <w:basedOn w:val="CommentTextChar"/>
    <w:link w:val="CommentSubject"/>
    <w:uiPriority w:val="99"/>
    <w:semiHidden/>
    <w:rsid w:val="00E01E86"/>
    <w:rPr>
      <w:rFonts w:ascii="Source Sans Pro" w:hAnsi="Source Sans Pro" w:cs="SourceSansPro-Light"/>
      <w:b/>
      <w:bCs/>
      <w:color w:val="00000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73F"/>
    <w:pPr>
      <w:widowControl w:val="0"/>
      <w:suppressAutoHyphens/>
      <w:autoSpaceDE w:val="0"/>
      <w:autoSpaceDN w:val="0"/>
      <w:adjustRightInd w:val="0"/>
      <w:spacing w:line="360" w:lineRule="atLeast"/>
      <w:jc w:val="both"/>
      <w:textAlignment w:val="center"/>
    </w:pPr>
    <w:rPr>
      <w:rFonts w:ascii="Source Sans Pro" w:hAnsi="Source Sans Pro" w:cs="SourceSansPro-Light"/>
      <w:color w:val="000000"/>
      <w:sz w:val="22"/>
      <w:szCs w:val="22"/>
      <w:lang w:val="en-US"/>
    </w:rPr>
  </w:style>
  <w:style w:type="paragraph" w:styleId="Heading1">
    <w:name w:val="heading 1"/>
    <w:basedOn w:val="Heading2"/>
    <w:next w:val="Normal"/>
    <w:link w:val="Heading1Char"/>
    <w:uiPriority w:val="1"/>
    <w:qFormat/>
    <w:rsid w:val="00D4773F"/>
    <w:pPr>
      <w:spacing w:before="0"/>
      <w:outlineLvl w:val="0"/>
    </w:pPr>
    <w:rPr>
      <w:b w:val="0"/>
      <w:color w:val="A21C26"/>
      <w:sz w:val="56"/>
    </w:rPr>
  </w:style>
  <w:style w:type="paragraph" w:styleId="Heading2">
    <w:name w:val="heading 2"/>
    <w:basedOn w:val="Heading3"/>
    <w:next w:val="Normal"/>
    <w:link w:val="Heading2Char"/>
    <w:uiPriority w:val="1"/>
    <w:unhideWhenUsed/>
    <w:qFormat/>
    <w:rsid w:val="00D4773F"/>
    <w:pPr>
      <w:outlineLvl w:val="1"/>
    </w:pPr>
    <w:rPr>
      <w:color w:val="auto"/>
      <w:sz w:val="26"/>
    </w:rPr>
  </w:style>
  <w:style w:type="paragraph" w:styleId="Heading3">
    <w:name w:val="heading 3"/>
    <w:basedOn w:val="Normal"/>
    <w:next w:val="Normal"/>
    <w:link w:val="Heading3Char"/>
    <w:uiPriority w:val="9"/>
    <w:unhideWhenUsed/>
    <w:qFormat/>
    <w:rsid w:val="00D4773F"/>
    <w:pPr>
      <w:spacing w:before="200"/>
      <w:jc w:val="left"/>
      <w:outlineLvl w:val="2"/>
    </w:pPr>
    <w:rPr>
      <w:b/>
      <w:color w:val="56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C051EB"/>
    <w:pPr>
      <w:tabs>
        <w:tab w:val="center" w:pos="4320"/>
        <w:tab w:val="right" w:pos="8640"/>
      </w:tabs>
    </w:pPr>
  </w:style>
  <w:style w:type="character" w:customStyle="1" w:styleId="FooterChar">
    <w:name w:val="Footer Char"/>
    <w:basedOn w:val="DefaultParagraphFont"/>
    <w:link w:val="Footer"/>
    <w:uiPriority w:val="99"/>
    <w:rsid w:val="00C051EB"/>
  </w:style>
  <w:style w:type="paragraph" w:styleId="BalloonText">
    <w:name w:val="Balloon Text"/>
    <w:basedOn w:val="Normal"/>
    <w:link w:val="BalloonTextChar"/>
    <w:uiPriority w:val="99"/>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spacing w:line="640" w:lineRule="atLeast"/>
    </w:pPr>
    <w:rPr>
      <w:rFonts w:ascii="SourceSansPro-Light" w:hAnsi="SourceSansPro-Light"/>
      <w:color w:val="97252C"/>
      <w:sz w:val="56"/>
      <w:szCs w:val="56"/>
    </w:rPr>
  </w:style>
  <w:style w:type="paragraph" w:customStyle="1" w:styleId="Bodycopy">
    <w:name w:val="Body copy"/>
    <w:basedOn w:val="Normal"/>
    <w:uiPriority w:val="1"/>
    <w:qFormat/>
    <w:rsid w:val="00D4773F"/>
  </w:style>
  <w:style w:type="paragraph" w:styleId="Title">
    <w:name w:val="Title"/>
    <w:basedOn w:val="MainHeader"/>
    <w:next w:val="Normal"/>
    <w:link w:val="TitleChar"/>
    <w:uiPriority w:val="10"/>
    <w:rsid w:val="00954BBA"/>
    <w:pPr>
      <w:spacing w:line="240" w:lineRule="auto"/>
    </w:pPr>
    <w:rPr>
      <w:rFonts w:ascii="Source Sans Pro" w:hAnsi="Source Sans Pro"/>
      <w:color w:val="B2031D"/>
    </w:rPr>
  </w:style>
  <w:style w:type="character" w:customStyle="1" w:styleId="TitleChar">
    <w:name w:val="Title Char"/>
    <w:basedOn w:val="DefaultParagraphFont"/>
    <w:link w:val="Title"/>
    <w:uiPriority w:val="10"/>
    <w:rsid w:val="00954BBA"/>
    <w:rPr>
      <w:rFonts w:ascii="Source Sans Pro" w:hAnsi="Source Sans Pro" w:cs="SourceSansPro-Light"/>
      <w:color w:val="B2031D"/>
      <w:sz w:val="56"/>
      <w:szCs w:val="56"/>
      <w:lang w:val="en-US"/>
    </w:rPr>
  </w:style>
  <w:style w:type="character" w:customStyle="1" w:styleId="Heading1Char">
    <w:name w:val="Heading 1 Char"/>
    <w:basedOn w:val="DefaultParagraphFont"/>
    <w:link w:val="Heading1"/>
    <w:uiPriority w:val="1"/>
    <w:rsid w:val="00D4773F"/>
    <w:rPr>
      <w:rFonts w:ascii="Source Sans Pro" w:hAnsi="Source Sans Pro" w:cs="SourceSansPro-Light"/>
      <w:color w:val="A21C26"/>
      <w:sz w:val="56"/>
      <w:szCs w:val="22"/>
      <w:lang w:val="en-US"/>
    </w:rPr>
  </w:style>
  <w:style w:type="paragraph" w:styleId="Subtitle">
    <w:name w:val="Subtitle"/>
    <w:basedOn w:val="Normal"/>
    <w:next w:val="Normal"/>
    <w:link w:val="SubtitleChar"/>
    <w:uiPriority w:val="11"/>
    <w:qFormat/>
    <w:rsid w:val="00C13A5F"/>
    <w:rPr>
      <w:i/>
      <w:color w:val="56565A"/>
    </w:rPr>
  </w:style>
  <w:style w:type="character" w:customStyle="1" w:styleId="SubtitleChar">
    <w:name w:val="Subtitle Char"/>
    <w:basedOn w:val="DefaultParagraphFont"/>
    <w:link w:val="Subtitle"/>
    <w:uiPriority w:val="11"/>
    <w:rsid w:val="00C13A5F"/>
    <w:rPr>
      <w:rFonts w:ascii="Source Sans Pro" w:hAnsi="Source Sans Pro" w:cs="SourceSansPro-Light"/>
      <w:i/>
      <w:color w:val="56565A"/>
      <w:sz w:val="20"/>
      <w:szCs w:val="20"/>
      <w:lang w:val="en-US"/>
    </w:rPr>
  </w:style>
  <w:style w:type="character" w:customStyle="1" w:styleId="Heading2Char">
    <w:name w:val="Heading 2 Char"/>
    <w:basedOn w:val="DefaultParagraphFont"/>
    <w:link w:val="Heading2"/>
    <w:uiPriority w:val="1"/>
    <w:rsid w:val="00D4773F"/>
    <w:rPr>
      <w:rFonts w:ascii="Source Sans Pro" w:hAnsi="Source Sans Pro" w:cs="SourceSansPro-Light"/>
      <w:b/>
      <w:sz w:val="26"/>
      <w:szCs w:val="22"/>
      <w:lang w:val="en-US"/>
    </w:rPr>
  </w:style>
  <w:style w:type="character" w:customStyle="1" w:styleId="Heading3Char">
    <w:name w:val="Heading 3 Char"/>
    <w:basedOn w:val="DefaultParagraphFont"/>
    <w:link w:val="Heading3"/>
    <w:uiPriority w:val="9"/>
    <w:rsid w:val="00D4773F"/>
    <w:rPr>
      <w:rFonts w:ascii="Source Sans Pro" w:hAnsi="Source Sans Pro" w:cs="SourceSansPro-Light"/>
      <w:b/>
      <w:color w:val="56565A"/>
      <w:sz w:val="22"/>
      <w:szCs w:val="22"/>
      <w:lang w:val="en-US"/>
    </w:rPr>
  </w:style>
  <w:style w:type="paragraph" w:styleId="Quote">
    <w:name w:val="Quote"/>
    <w:basedOn w:val="Normal"/>
    <w:next w:val="Normal"/>
    <w:link w:val="QuoteChar"/>
    <w:uiPriority w:val="29"/>
    <w:qFormat/>
    <w:rsid w:val="00A23263"/>
    <w:rPr>
      <w:i/>
      <w:iCs/>
      <w:color w:val="000000" w:themeColor="text1"/>
    </w:rPr>
  </w:style>
  <w:style w:type="character" w:customStyle="1" w:styleId="QuoteChar">
    <w:name w:val="Quote Char"/>
    <w:basedOn w:val="DefaultParagraphFont"/>
    <w:link w:val="Quote"/>
    <w:uiPriority w:val="29"/>
    <w:rsid w:val="00A23263"/>
    <w:rPr>
      <w:rFonts w:ascii="Source Sans Pro" w:hAnsi="Source Sans Pro" w:cs="SourceSansPro-Light"/>
      <w:i/>
      <w:iCs/>
      <w:color w:val="000000" w:themeColor="text1"/>
      <w:sz w:val="20"/>
      <w:szCs w:val="20"/>
      <w:lang w:val="en-US"/>
    </w:rPr>
  </w:style>
  <w:style w:type="character" w:styleId="IntenseEmphasis">
    <w:name w:val="Intense Emphasis"/>
    <w:basedOn w:val="DefaultParagraphFont"/>
    <w:uiPriority w:val="21"/>
    <w:qFormat/>
    <w:rsid w:val="00A23263"/>
    <w:rPr>
      <w:rFonts w:ascii="Source Sans Pro" w:hAnsi="Source Sans Pro"/>
      <w:b/>
      <w:bCs/>
      <w:i/>
      <w:iCs/>
      <w:color w:val="C10E02"/>
      <w:sz w:val="20"/>
    </w:rPr>
  </w:style>
  <w:style w:type="character" w:styleId="SubtleEmphasis">
    <w:name w:val="Subtle Emphasis"/>
    <w:basedOn w:val="DefaultParagraphFont"/>
    <w:uiPriority w:val="19"/>
    <w:qFormat/>
    <w:rsid w:val="00A23263"/>
    <w:rPr>
      <w:rFonts w:ascii="Source Sans Pro" w:hAnsi="Source Sans Pro"/>
      <w:i/>
      <w:iCs/>
      <w:color w:val="808080" w:themeColor="text1" w:themeTint="7F"/>
      <w:sz w:val="20"/>
    </w:rPr>
  </w:style>
  <w:style w:type="paragraph" w:styleId="IntenseQuote">
    <w:name w:val="Intense Quote"/>
    <w:basedOn w:val="Normal"/>
    <w:next w:val="Normal"/>
    <w:link w:val="IntenseQuoteChar"/>
    <w:uiPriority w:val="30"/>
    <w:qFormat/>
    <w:rsid w:val="00A23263"/>
    <w:pPr>
      <w:pBdr>
        <w:bottom w:val="single" w:sz="4" w:space="4" w:color="A21C26" w:themeColor="accent1"/>
      </w:pBdr>
      <w:spacing w:before="200" w:after="280"/>
      <w:ind w:left="936" w:right="936"/>
    </w:pPr>
    <w:rPr>
      <w:b/>
      <w:bCs/>
      <w:i/>
      <w:iCs/>
      <w:color w:val="C10E02"/>
    </w:rPr>
  </w:style>
  <w:style w:type="character" w:customStyle="1" w:styleId="IntenseQuoteChar">
    <w:name w:val="Intense Quote Char"/>
    <w:basedOn w:val="DefaultParagraphFont"/>
    <w:link w:val="IntenseQuote"/>
    <w:uiPriority w:val="30"/>
    <w:rsid w:val="00A23263"/>
    <w:rPr>
      <w:rFonts w:ascii="Source Sans Pro" w:hAnsi="Source Sans Pro" w:cs="SourceSansPro-Light"/>
      <w:b/>
      <w:bCs/>
      <w:i/>
      <w:iCs/>
      <w:color w:val="C10E02"/>
      <w:sz w:val="20"/>
      <w:szCs w:val="20"/>
      <w:lang w:val="en-US"/>
    </w:rPr>
  </w:style>
  <w:style w:type="character" w:styleId="SubtleReference">
    <w:name w:val="Subtle Reference"/>
    <w:basedOn w:val="DefaultParagraphFont"/>
    <w:uiPriority w:val="31"/>
    <w:qFormat/>
    <w:rsid w:val="00CE5996"/>
    <w:rPr>
      <w:rFonts w:ascii="Source Sans Pro" w:hAnsi="Source Sans Pro"/>
      <w:smallCaps/>
      <w:color w:val="C10E02"/>
      <w:u w:val="single"/>
    </w:rPr>
  </w:style>
  <w:style w:type="character" w:styleId="IntenseReference">
    <w:name w:val="Intense Reference"/>
    <w:basedOn w:val="DefaultParagraphFont"/>
    <w:uiPriority w:val="32"/>
    <w:qFormat/>
    <w:rsid w:val="00CE5996"/>
    <w:rPr>
      <w:rFonts w:ascii="Source Sans Pro" w:hAnsi="Source Sans Pro"/>
      <w:b/>
      <w:bCs/>
      <w:smallCaps/>
      <w:color w:val="56565A"/>
      <w:spacing w:val="5"/>
      <w:sz w:val="20"/>
      <w:u w:val="single"/>
    </w:rPr>
  </w:style>
  <w:style w:type="paragraph" w:customStyle="1" w:styleId="Numbers">
    <w:name w:val="Numbers"/>
    <w:basedOn w:val="Bodycopy"/>
    <w:uiPriority w:val="1"/>
    <w:qFormat/>
    <w:rsid w:val="00D4773F"/>
    <w:pPr>
      <w:numPr>
        <w:numId w:val="2"/>
      </w:numPr>
      <w:ind w:left="426" w:hanging="426"/>
    </w:pPr>
    <w:rPr>
      <w:szCs w:val="20"/>
    </w:rPr>
  </w:style>
  <w:style w:type="paragraph" w:customStyle="1" w:styleId="Bullets">
    <w:name w:val="Bullets"/>
    <w:basedOn w:val="Bodycopy"/>
    <w:uiPriority w:val="1"/>
    <w:qFormat/>
    <w:rsid w:val="00D4773F"/>
    <w:pPr>
      <w:numPr>
        <w:numId w:val="1"/>
      </w:numPr>
    </w:pPr>
    <w:rPr>
      <w:szCs w:val="20"/>
    </w:rPr>
  </w:style>
  <w:style w:type="character" w:styleId="Hyperlink">
    <w:name w:val="Hyperlink"/>
    <w:basedOn w:val="DefaultParagraphFont"/>
    <w:uiPriority w:val="99"/>
    <w:unhideWhenUsed/>
    <w:rsid w:val="00D4773F"/>
    <w:rPr>
      <w:color w:val="A21C26"/>
      <w:u w:val="single"/>
    </w:rPr>
  </w:style>
  <w:style w:type="table" w:customStyle="1" w:styleId="RTWSATable">
    <w:name w:val="RTWSA Table"/>
    <w:basedOn w:val="TableNormal"/>
    <w:uiPriority w:val="99"/>
    <w:rsid w:val="001E25C6"/>
    <w:tblPr>
      <w:tblStyleRowBandSize w:val="1"/>
      <w:tblInd w:w="0" w:type="dxa"/>
      <w:tblBorders>
        <w:top w:val="single" w:sz="4" w:space="0" w:color="A21C26"/>
        <w:left w:val="single" w:sz="4" w:space="0" w:color="A21C26"/>
        <w:bottom w:val="single" w:sz="4" w:space="0" w:color="A21C26"/>
        <w:right w:val="single" w:sz="4" w:space="0" w:color="A21C26"/>
      </w:tblBorders>
      <w:tblCellMar>
        <w:top w:w="0" w:type="dxa"/>
        <w:left w:w="108" w:type="dxa"/>
        <w:bottom w:w="0" w:type="dxa"/>
        <w:right w:w="108" w:type="dxa"/>
      </w:tblCellMar>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paragraph" w:customStyle="1" w:styleId="TableHeading">
    <w:name w:val="Table Heading"/>
    <w:basedOn w:val="Bodycopy"/>
    <w:uiPriority w:val="1"/>
    <w:rsid w:val="00D4773F"/>
    <w:rPr>
      <w:color w:val="FFFFFF" w:themeColor="background1"/>
      <w:szCs w:val="20"/>
    </w:rPr>
  </w:style>
  <w:style w:type="table" w:styleId="TableGrid">
    <w:name w:val="Table Grid"/>
    <w:basedOn w:val="TableNormal"/>
    <w:uiPriority w:val="59"/>
    <w:rsid w:val="001E25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F27FCE"/>
    <w:rPr>
      <w:sz w:val="16"/>
      <w:szCs w:val="16"/>
    </w:rPr>
  </w:style>
  <w:style w:type="paragraph" w:styleId="CommentText">
    <w:name w:val="annotation text"/>
    <w:basedOn w:val="Normal"/>
    <w:link w:val="CommentTextChar"/>
    <w:semiHidden/>
    <w:unhideWhenUsed/>
    <w:rsid w:val="00F27FCE"/>
    <w:pPr>
      <w:widowControl/>
      <w:suppressAutoHyphens w:val="0"/>
      <w:autoSpaceDE/>
      <w:autoSpaceDN/>
      <w:adjustRightInd/>
      <w:spacing w:line="240" w:lineRule="auto"/>
      <w:textAlignment w:val="auto"/>
    </w:pPr>
    <w:rPr>
      <w:rFonts w:asciiTheme="minorHAnsi" w:hAnsiTheme="minorHAnsi" w:cstheme="minorBidi"/>
      <w:color w:val="auto"/>
      <w:sz w:val="20"/>
      <w:szCs w:val="20"/>
      <w:lang w:val="en-AU"/>
    </w:rPr>
  </w:style>
  <w:style w:type="character" w:customStyle="1" w:styleId="CommentTextChar">
    <w:name w:val="Comment Text Char"/>
    <w:basedOn w:val="DefaultParagraphFont"/>
    <w:link w:val="CommentText"/>
    <w:semiHidden/>
    <w:rsid w:val="00F27FCE"/>
    <w:rPr>
      <w:sz w:val="20"/>
      <w:szCs w:val="20"/>
    </w:rPr>
  </w:style>
  <w:style w:type="paragraph" w:customStyle="1" w:styleId="TOCHeader">
    <w:name w:val="TOC Header"/>
    <w:basedOn w:val="Normal"/>
    <w:uiPriority w:val="1"/>
    <w:rsid w:val="00F27FCE"/>
    <w:pPr>
      <w:spacing w:line="640" w:lineRule="atLeast"/>
      <w:jc w:val="right"/>
    </w:pPr>
    <w:rPr>
      <w:rFonts w:cs="Calibri-Light"/>
      <w:color w:val="A21C26"/>
      <w:sz w:val="56"/>
      <w:szCs w:val="56"/>
    </w:rPr>
  </w:style>
  <w:style w:type="paragraph" w:customStyle="1" w:styleId="MainHeadingCover">
    <w:name w:val="Main Heading Cover"/>
    <w:basedOn w:val="Normal"/>
    <w:uiPriority w:val="1"/>
    <w:rsid w:val="00F27FCE"/>
    <w:pPr>
      <w:widowControl/>
      <w:suppressAutoHyphens w:val="0"/>
      <w:autoSpaceDE/>
      <w:autoSpaceDN/>
      <w:adjustRightInd/>
      <w:spacing w:line="720" w:lineRule="exact"/>
      <w:jc w:val="left"/>
      <w:textAlignment w:val="auto"/>
    </w:pPr>
    <w:rPr>
      <w:rFonts w:cstheme="minorBidi"/>
      <w:color w:val="56565A"/>
      <w:sz w:val="72"/>
      <w:szCs w:val="72"/>
      <w:lang w:val="en-AU"/>
    </w:rPr>
  </w:style>
  <w:style w:type="paragraph" w:customStyle="1" w:styleId="SubheadingCover">
    <w:name w:val="Subheading Cover"/>
    <w:basedOn w:val="Normal"/>
    <w:uiPriority w:val="1"/>
    <w:rsid w:val="00F27FCE"/>
    <w:pPr>
      <w:widowControl/>
      <w:suppressAutoHyphens w:val="0"/>
      <w:autoSpaceDE/>
      <w:autoSpaceDN/>
      <w:adjustRightInd/>
      <w:spacing w:line="720" w:lineRule="exact"/>
      <w:jc w:val="left"/>
      <w:textAlignment w:val="auto"/>
    </w:pPr>
    <w:rPr>
      <w:rFonts w:cstheme="minorBidi"/>
      <w:color w:val="56565A"/>
      <w:szCs w:val="24"/>
      <w:lang w:val="en-AU"/>
    </w:rPr>
  </w:style>
  <w:style w:type="paragraph" w:styleId="TOC1">
    <w:name w:val="toc 1"/>
    <w:basedOn w:val="Normal"/>
    <w:next w:val="Normal"/>
    <w:autoRedefine/>
    <w:uiPriority w:val="39"/>
    <w:unhideWhenUsed/>
    <w:rsid w:val="00F27FCE"/>
    <w:pPr>
      <w:widowControl/>
      <w:tabs>
        <w:tab w:val="right" w:leader="dot" w:pos="10359"/>
      </w:tabs>
      <w:suppressAutoHyphens w:val="0"/>
      <w:autoSpaceDE/>
      <w:autoSpaceDN/>
      <w:adjustRightInd/>
      <w:spacing w:before="113" w:line="500" w:lineRule="atLeast"/>
      <w:textAlignment w:val="auto"/>
    </w:pPr>
    <w:rPr>
      <w:rFonts w:cstheme="minorBidi"/>
      <w:color w:val="auto"/>
      <w:sz w:val="28"/>
      <w:szCs w:val="24"/>
      <w:lang w:val="en-AU"/>
    </w:rPr>
  </w:style>
  <w:style w:type="paragraph" w:styleId="TOC2">
    <w:name w:val="toc 2"/>
    <w:basedOn w:val="Normal"/>
    <w:next w:val="Normal"/>
    <w:autoRedefine/>
    <w:uiPriority w:val="39"/>
    <w:unhideWhenUsed/>
    <w:rsid w:val="00F27FCE"/>
    <w:pPr>
      <w:widowControl/>
      <w:tabs>
        <w:tab w:val="right" w:leader="dot" w:pos="10359"/>
      </w:tabs>
      <w:suppressAutoHyphens w:val="0"/>
      <w:autoSpaceDE/>
      <w:autoSpaceDN/>
      <w:adjustRightInd/>
      <w:spacing w:line="440" w:lineRule="atLeast"/>
      <w:ind w:left="238"/>
      <w:textAlignment w:val="auto"/>
    </w:pPr>
    <w:rPr>
      <w:rFonts w:cstheme="minorBidi"/>
      <w:noProof/>
      <w:color w:val="auto"/>
      <w:szCs w:val="24"/>
      <w:lang w:val="en-AU"/>
    </w:rPr>
  </w:style>
  <w:style w:type="paragraph" w:styleId="TOCHeading">
    <w:name w:val="TOC Heading"/>
    <w:basedOn w:val="Heading1"/>
    <w:next w:val="Normal"/>
    <w:uiPriority w:val="39"/>
    <w:unhideWhenUsed/>
    <w:qFormat/>
    <w:rsid w:val="000D3EAD"/>
    <w:pPr>
      <w:keepNext/>
      <w:keepLines/>
      <w:widowControl/>
      <w:suppressAutoHyphens w:val="0"/>
      <w:autoSpaceDE/>
      <w:autoSpaceDN/>
      <w:adjustRightInd/>
      <w:spacing w:before="480" w:line="276" w:lineRule="auto"/>
      <w:textAlignment w:val="auto"/>
      <w:outlineLvl w:val="9"/>
    </w:pPr>
    <w:rPr>
      <w:rFonts w:asciiTheme="majorHAnsi" w:eastAsiaTheme="majorEastAsia" w:hAnsiTheme="majorHAnsi" w:cstheme="majorBidi"/>
      <w:b/>
      <w:bCs/>
      <w:color w:val="79151C" w:themeColor="accent1" w:themeShade="BF"/>
      <w:sz w:val="28"/>
      <w:szCs w:val="28"/>
      <w:lang w:eastAsia="ja-JP"/>
    </w:rPr>
  </w:style>
  <w:style w:type="paragraph" w:styleId="CommentSubject">
    <w:name w:val="annotation subject"/>
    <w:basedOn w:val="CommentText"/>
    <w:next w:val="CommentText"/>
    <w:link w:val="CommentSubjectChar"/>
    <w:uiPriority w:val="99"/>
    <w:semiHidden/>
    <w:unhideWhenUsed/>
    <w:rsid w:val="00E01E86"/>
    <w:pPr>
      <w:widowControl w:val="0"/>
      <w:suppressAutoHyphens/>
      <w:autoSpaceDE w:val="0"/>
      <w:autoSpaceDN w:val="0"/>
      <w:adjustRightInd w:val="0"/>
      <w:textAlignment w:val="center"/>
    </w:pPr>
    <w:rPr>
      <w:rFonts w:ascii="Source Sans Pro" w:hAnsi="Source Sans Pro" w:cs="SourceSansPro-Light"/>
      <w:b/>
      <w:bCs/>
      <w:color w:val="000000"/>
      <w:lang w:val="en-US"/>
    </w:rPr>
  </w:style>
  <w:style w:type="character" w:customStyle="1" w:styleId="CommentSubjectChar">
    <w:name w:val="Comment Subject Char"/>
    <w:basedOn w:val="CommentTextChar"/>
    <w:link w:val="CommentSubject"/>
    <w:uiPriority w:val="99"/>
    <w:semiHidden/>
    <w:rsid w:val="00E01E86"/>
    <w:rPr>
      <w:rFonts w:ascii="Source Sans Pro" w:hAnsi="Source Sans Pro" w:cs="SourceSansPro-Light"/>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ReturnToWorkSA\RTWSA%20Templates\Fact%20sheets\Fact%20sheet%20double%20column%20-%20A4%20-%20small%20header.dotx" TargetMode="External"/></Relationships>
</file>

<file path=word/theme/theme1.xml><?xml version="1.0" encoding="utf-8"?>
<a:theme xmlns:a="http://schemas.openxmlformats.org/drawingml/2006/main" name="RTWSA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390ccce-7ce2-4a27-bffd-5da01fd4464a">CMADE7FWUXKN-8-2504</_dlc_DocId>
    <_dlc_DocIdUrl xmlns="2390ccce-7ce2-4a27-bffd-5da01fd4464a">
      <Url>http://nexus/_layouts/DocIdRedir.aspx?ID=CMADE7FWUXKN-8-2504</Url>
      <Description>CMADE7FWUXKN-8-2504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4EF8F25723974FA257E6768FA33D50" ma:contentTypeVersion="3" ma:contentTypeDescription="Create a new document." ma:contentTypeScope="" ma:versionID="76f94ff7802f79d348528ee1f2dc1220">
  <xsd:schema xmlns:xsd="http://www.w3.org/2001/XMLSchema" xmlns:xs="http://www.w3.org/2001/XMLSchema" xmlns:p="http://schemas.microsoft.com/office/2006/metadata/properties" xmlns:ns3="2390ccce-7ce2-4a27-bffd-5da01fd4464a" targetNamespace="http://schemas.microsoft.com/office/2006/metadata/properties" ma:root="true" ma:fieldsID="bbf05cbb9fb693b178ad7b5e20f45940" ns3:_="">
    <xsd:import namespace="2390ccce-7ce2-4a27-bffd-5da01fd4464a"/>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ccce-7ce2-4a27-bffd-5da01fd4464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42F0A-F8B9-4ABE-92F4-7CCB4AA6EC67}">
  <ds:schemaRefs>
    <ds:schemaRef ds:uri="http://schemas.microsoft.com/sharepoint/events"/>
  </ds:schemaRefs>
</ds:datastoreItem>
</file>

<file path=customXml/itemProps2.xml><?xml version="1.0" encoding="utf-8"?>
<ds:datastoreItem xmlns:ds="http://schemas.openxmlformats.org/officeDocument/2006/customXml" ds:itemID="{5F33F718-09E6-4A0F-89B1-A0F338041B09}">
  <ds:schemaRefs>
    <ds:schemaRef ds:uri="http://schemas.microsoft.com/sharepoint/v3/contenttype/forms"/>
  </ds:schemaRefs>
</ds:datastoreItem>
</file>

<file path=customXml/itemProps3.xml><?xml version="1.0" encoding="utf-8"?>
<ds:datastoreItem xmlns:ds="http://schemas.openxmlformats.org/officeDocument/2006/customXml" ds:itemID="{1523EB73-FC2E-4AA5-A83D-D397E1E0D97E}">
  <ds:schemaRef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http://www.w3.org/XML/1998/namespace"/>
    <ds:schemaRef ds:uri="2390ccce-7ce2-4a27-bffd-5da01fd4464a"/>
  </ds:schemaRefs>
</ds:datastoreItem>
</file>

<file path=customXml/itemProps4.xml><?xml version="1.0" encoding="utf-8"?>
<ds:datastoreItem xmlns:ds="http://schemas.openxmlformats.org/officeDocument/2006/customXml" ds:itemID="{466B46C8-15E1-4266-97E5-380F12E80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0ccce-7ce2-4a27-bffd-5da01fd4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02F0CF-AB7C-4F34-A2BA-B0494490DF7E}">
  <ds:schemaRefs>
    <ds:schemaRef ds:uri="http://schemas.microsoft.com/office/2006/customDocumentInformationPanel"/>
  </ds:schemaRefs>
</ds:datastoreItem>
</file>

<file path=customXml/itemProps6.xml><?xml version="1.0" encoding="utf-8"?>
<ds:datastoreItem xmlns:ds="http://schemas.openxmlformats.org/officeDocument/2006/customXml" ds:itemID="{E131043E-3012-4F4C-91D8-9C34AC27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double column - A4 - small header</Template>
  <TotalTime>2</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Fishing crews</vt:lpstr>
    </vt:vector>
  </TitlesOfParts>
  <Company>Nation</Company>
  <LinksUpToDate>false</LinksUpToDate>
  <CharactersWithSpaces>3221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Fishing crews</dc:title>
  <dc:subject>fishing crews guide to deemed and excluded workers</dc:subject>
  <dc:creator>ReturnToWorkSA</dc:creator>
  <cp:keywords>fishing crews, share of the catch,</cp:keywords>
  <cp:lastModifiedBy>Jayne, Julie</cp:lastModifiedBy>
  <cp:revision>3</cp:revision>
  <cp:lastPrinted>2015-06-23T23:03:00Z</cp:lastPrinted>
  <dcterms:created xsi:type="dcterms:W3CDTF">2015-08-25T00:00:00Z</dcterms:created>
  <dcterms:modified xsi:type="dcterms:W3CDTF">2015-09-02T03:59:00Z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3e5a4a11-0cfe-400d-bd3f-053aeef89b10</vt:lpwstr>
  </property>
  <property fmtid="{D5CDD505-2E9C-101B-9397-08002B2CF9AE}" pid="3" name="ContentTypeId">
    <vt:lpwstr>0x0101003E4EF8F25723974FA257E6768FA33D50</vt:lpwstr>
  </property>
</Properties>
</file>