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93216139" w:edGrp="everyone"/>
    <w:p w:rsidR="00C72E79" w:rsidRPr="00C72E79" w:rsidRDefault="005D416E" w:rsidP="00C72E79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DEEA5F9777AA46189A12914C1B883D13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C72E79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93216139"/>
    </w:p>
    <w:p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:rsidR="00BE6DDE" w:rsidRDefault="00DC5753" w:rsidP="00771B07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4A48D7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Occupational Therapy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885AD7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p w:rsidR="00896D6A" w:rsidRPr="00C86303" w:rsidRDefault="00896D6A" w:rsidP="00771B07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:rsidTr="00771B07">
        <w:trPr>
          <w:trHeight w:val="481"/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885AD7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 be delivered within a practice,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case manager and may be charged for using the </w:t>
            </w:r>
            <w:r w:rsidR="004A48D7">
              <w:rPr>
                <w:rFonts w:asciiTheme="minorHAnsi" w:hAnsiTheme="minorHAnsi" w:cs="Arial"/>
                <w:spacing w:val="0"/>
                <w:lang w:val="en-AU"/>
              </w:rPr>
              <w:t>OTMP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code.</w:t>
            </w:r>
          </w:p>
        </w:tc>
      </w:tr>
    </w:tbl>
    <w:p w:rsidR="008C7727" w:rsidRPr="00C86303" w:rsidRDefault="00896D6A" w:rsidP="00E85E3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:rsidTr="00771B07">
        <w:trPr>
          <w:trHeight w:val="284"/>
          <w:jc w:val="center"/>
        </w:trPr>
        <w:tc>
          <w:tcPr>
            <w:tcW w:w="10615" w:type="dxa"/>
            <w:gridSpan w:val="11"/>
            <w:shd w:val="clear" w:color="auto" w:fill="9A9A9A"/>
          </w:tcPr>
          <w:p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:rsidTr="00771B07">
        <w:trPr>
          <w:trHeight w:val="284"/>
          <w:jc w:val="center"/>
        </w:trPr>
        <w:tc>
          <w:tcPr>
            <w:tcW w:w="1109" w:type="dxa"/>
            <w:tcBorders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4C31CD" w:rsidRPr="00C86303" w:rsidTr="000870B0">
        <w:trPr>
          <w:trHeight w:val="284"/>
          <w:jc w:val="center"/>
        </w:trPr>
        <w:tc>
          <w:tcPr>
            <w:tcW w:w="1582" w:type="dxa"/>
            <w:gridSpan w:val="3"/>
            <w:tcBorders>
              <w:right w:val="nil"/>
            </w:tcBorders>
          </w:tcPr>
          <w:p w:rsidR="004C31CD" w:rsidRPr="00C86303" w:rsidRDefault="004C31CD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:rsidR="004C31CD" w:rsidRPr="00C86303" w:rsidRDefault="004C31C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:rsidR="004C31CD" w:rsidRPr="00C86303" w:rsidRDefault="004C31CD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:rsidR="004C31CD" w:rsidRPr="00C86303" w:rsidRDefault="004C31CD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:rsidR="004C31CD" w:rsidRPr="00C86303" w:rsidRDefault="004C31CD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EnABLE Unit </w:t>
            </w:r>
          </w:p>
        </w:tc>
      </w:tr>
      <w:tr w:rsidR="008F4AD2" w:rsidRPr="00C86303" w:rsidTr="00771B07">
        <w:trPr>
          <w:trHeight w:val="284"/>
          <w:jc w:val="center"/>
        </w:trPr>
        <w:tc>
          <w:tcPr>
            <w:tcW w:w="1440" w:type="dxa"/>
            <w:gridSpan w:val="2"/>
            <w:tcBorders>
              <w:right w:val="nil"/>
            </w:tcBorders>
          </w:tcPr>
          <w:p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:rsidTr="00771B07">
        <w:trPr>
          <w:trHeight w:val="284"/>
          <w:jc w:val="center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:rsidTr="00771B07">
        <w:trPr>
          <w:jc w:val="center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:rsidTr="00771B07">
        <w:trPr>
          <w:jc w:val="center"/>
        </w:trPr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5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4AD2" w:rsidRPr="00E0224D" w:rsidRDefault="008F4AD2" w:rsidP="0030796F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132"/>
        <w:gridCol w:w="7"/>
        <w:gridCol w:w="20"/>
        <w:gridCol w:w="2553"/>
        <w:gridCol w:w="166"/>
        <w:gridCol w:w="467"/>
        <w:gridCol w:w="22"/>
        <w:gridCol w:w="26"/>
        <w:gridCol w:w="731"/>
        <w:gridCol w:w="131"/>
        <w:gridCol w:w="393"/>
        <w:gridCol w:w="20"/>
        <w:gridCol w:w="587"/>
        <w:gridCol w:w="1224"/>
        <w:gridCol w:w="1178"/>
        <w:gridCol w:w="1412"/>
      </w:tblGrid>
      <w:tr w:rsidR="000A1631" w:rsidRPr="00C86303" w:rsidTr="00771B07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:rsidR="000A1631" w:rsidRPr="00C86303" w:rsidRDefault="003B6AB8" w:rsidP="003B6AB8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:rsidTr="00771B07">
        <w:trPr>
          <w:trHeight w:val="15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631" w:rsidRPr="00C86303" w:rsidRDefault="003B6AB8" w:rsidP="003B6AB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:rsidTr="00771B07">
        <w:trPr>
          <w:trHeight w:val="23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2" w:type="dxa"/>
            <w:vMerge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:rsidR="000A1631" w:rsidRPr="00C86303" w:rsidRDefault="003B6AB8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131" w:type="dxa"/>
            <w:gridSpan w:val="4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224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78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412" w:type="dxa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2" w:type="dxa"/>
            <w:gridSpan w:val="5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131" w:type="dxa"/>
            <w:gridSpan w:val="4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224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178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412" w:type="dxa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771B07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69" w:type="dxa"/>
            <w:gridSpan w:val="16"/>
            <w:tcBorders>
              <w:left w:val="single" w:sz="4" w:space="0" w:color="auto"/>
              <w:bottom w:val="nil"/>
            </w:tcBorders>
            <w:shd w:val="clear" w:color="auto" w:fill="9A9A9A"/>
          </w:tcPr>
          <w:p w:rsidR="000A1631" w:rsidRPr="00C86303" w:rsidRDefault="003B6AB8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:rsidTr="00771B07">
        <w:trPr>
          <w:trHeight w:val="15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631" w:rsidRPr="00C86303" w:rsidRDefault="003B6AB8" w:rsidP="003B6AB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Outcome measures used (recommend ≥2)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:rsidTr="00771B07">
        <w:trPr>
          <w:trHeight w:val="23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2" w:type="dxa"/>
            <w:vMerge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:rsidR="000A1631" w:rsidRPr="00C86303" w:rsidRDefault="003B6AB8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5D41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:rsidTr="00A64F1F">
        <w:trPr>
          <w:trHeight w:val="236"/>
          <w:jc w:val="center"/>
        </w:trPr>
        <w:tc>
          <w:tcPr>
            <w:tcW w:w="564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69" w:type="dxa"/>
            <w:gridSpan w:val="16"/>
            <w:tcBorders>
              <w:top w:val="nil"/>
            </w:tcBorders>
            <w:shd w:val="clear" w:color="auto" w:fill="9A9A9A"/>
          </w:tcPr>
          <w:p w:rsidR="00676EFE" w:rsidRPr="00C86303" w:rsidRDefault="00F5005E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305B94" w:rsidRPr="00C86303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:rsidR="00676EFE" w:rsidRPr="00C86303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5"/>
            <w:vAlign w:val="bottom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4" w:type="dxa"/>
            <w:gridSpan w:val="6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A64F1F">
        <w:trPr>
          <w:trHeight w:val="309"/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Default="00676EFE" w:rsidP="00D50FDD">
            <w:pPr>
              <w:ind w:left="-93" w:firstLine="93"/>
            </w:pPr>
          </w:p>
        </w:tc>
        <w:tc>
          <w:tcPr>
            <w:tcW w:w="10069" w:type="dxa"/>
            <w:gridSpan w:val="16"/>
            <w:shd w:val="clear" w:color="auto" w:fill="D1DA28"/>
            <w:vAlign w:val="center"/>
          </w:tcPr>
          <w:p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:rsidTr="00A64F1F">
        <w:trPr>
          <w:trHeight w:val="344"/>
          <w:jc w:val="center"/>
        </w:trPr>
        <w:tc>
          <w:tcPr>
            <w:tcW w:w="564" w:type="dxa"/>
            <w:vMerge w:val="restart"/>
            <w:shd w:val="clear" w:color="auto" w:fill="A21C26"/>
            <w:textDirection w:val="btLr"/>
          </w:tcPr>
          <w:p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69" w:type="dxa"/>
            <w:gridSpan w:val="16"/>
            <w:shd w:val="clear" w:color="auto" w:fill="9A9A9A"/>
            <w:vAlign w:val="center"/>
          </w:tcPr>
          <w:p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69" w:type="dxa"/>
            <w:gridSpan w:val="16"/>
          </w:tcPr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:rsidTr="00706FB5">
        <w:trPr>
          <w:trHeight w:val="282"/>
          <w:jc w:val="center"/>
        </w:trPr>
        <w:tc>
          <w:tcPr>
            <w:tcW w:w="564" w:type="dxa"/>
            <w:vMerge w:val="restart"/>
            <w:shd w:val="clear" w:color="auto" w:fill="9A9A9A"/>
            <w:textDirection w:val="btLr"/>
          </w:tcPr>
          <w:p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shd w:val="clear" w:color="auto" w:fill="9A9A9A"/>
          </w:tcPr>
          <w:p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AA6CE0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occupational t</w:t>
            </w:r>
            <w:r w:rsidR="004A48D7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herapist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1" w:type="dxa"/>
            <w:gridSpan w:val="5"/>
            <w:tcBorders>
              <w:left w:val="nil"/>
              <w:bottom w:val="single" w:sz="4" w:space="0" w:color="auto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0" w:type="dxa"/>
            <w:gridSpan w:val="14"/>
            <w:tcBorders>
              <w:left w:val="nil"/>
              <w:bottom w:val="single" w:sz="4" w:space="0" w:color="auto"/>
            </w:tcBorders>
          </w:tcPr>
          <w:p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A64F1F" w:rsidRPr="00C86303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:rsidR="00A64F1F" w:rsidRPr="00C86303" w:rsidRDefault="00A64F1F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nil"/>
            </w:tcBorders>
          </w:tcPr>
          <w:p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nil"/>
              <w:right w:val="nil"/>
            </w:tcBorders>
          </w:tcPr>
          <w:p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401" w:type="dxa"/>
            <w:gridSpan w:val="4"/>
            <w:tcBorders>
              <w:left w:val="nil"/>
              <w:bottom w:val="single" w:sz="4" w:space="0" w:color="auto"/>
            </w:tcBorders>
          </w:tcPr>
          <w:p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706FB5">
        <w:trPr>
          <w:trHeight w:val="282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9A9A9A"/>
          </w:tcPr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A64F1F">
        <w:tblPrEx>
          <w:shd w:val="clear" w:color="auto" w:fill="F2F2F2" w:themeFill="background1" w:themeFillShade="F2"/>
        </w:tblPrEx>
        <w:trPr>
          <w:trHeight w:val="1154"/>
          <w:jc w:val="center"/>
        </w:trPr>
        <w:tc>
          <w:tcPr>
            <w:tcW w:w="10633" w:type="dxa"/>
            <w:gridSpan w:val="17"/>
            <w:shd w:val="clear" w:color="auto" w:fill="F2F2F2" w:themeFill="background1" w:themeFillShade="F2"/>
          </w:tcPr>
          <w:p w:rsidR="00676EFE" w:rsidRDefault="00676EFE" w:rsidP="00771B07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:rsidR="00790321" w:rsidRPr="00AA6CE0" w:rsidRDefault="00676EFE" w:rsidP="00771B07">
            <w:pPr>
              <w:spacing w:before="60"/>
              <w:rPr>
                <w:rFonts w:asciiTheme="minorHAnsi" w:hAnsiTheme="minorHAnsi" w:cs="Arial"/>
                <w:color w:val="0000FF" w:themeColor="hyperlink"/>
                <w:spacing w:val="0"/>
                <w:u w:val="single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AA6CE0">
              <w:rPr>
                <w:rFonts w:asciiTheme="minorHAnsi" w:hAnsiTheme="minorHAnsi" w:cs="Arial"/>
                <w:spacing w:val="0"/>
                <w:lang w:val="en-AU"/>
              </w:rPr>
              <w:t>occupational t</w:t>
            </w:r>
            <w:r w:rsidR="004A48D7">
              <w:rPr>
                <w:rFonts w:asciiTheme="minorHAnsi" w:hAnsiTheme="minorHAnsi" w:cs="Arial"/>
                <w:spacing w:val="0"/>
                <w:lang w:val="en-AU"/>
              </w:rPr>
              <w:t>herapist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  <w:r w:rsidR="00771B07">
              <w:rPr>
                <w:rFonts w:asciiTheme="minorHAnsi" w:hAnsiTheme="minorHAnsi" w:cs="Arial"/>
                <w:spacing w:val="0"/>
                <w:lang w:val="en-AU"/>
              </w:rPr>
              <w:t xml:space="preserve">  </w:t>
            </w:r>
            <w:r w:rsidR="00F64584">
              <w:rPr>
                <w:rFonts w:asciiTheme="minorHAnsi" w:hAnsiTheme="minorHAnsi" w:cs="Arial"/>
                <w:spacing w:val="0"/>
                <w:lang w:val="en-AU"/>
              </w:rPr>
              <w:t>Plans</w:t>
            </w:r>
            <w:r w:rsidR="00627D29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can be submitt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>ed via Provider Online Services</w:t>
            </w:r>
            <w:r w:rsidR="001E335D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at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hyperlink r:id="rId8" w:history="1">
              <w:r w:rsidR="00722555" w:rsidRPr="00AA6CE0">
                <w:rPr>
                  <w:rStyle w:val="Hyperlink"/>
                  <w:rFonts w:asciiTheme="minorHAnsi" w:hAnsiTheme="minorHAnsi" w:cs="Arial"/>
                  <w:spacing w:val="0"/>
                  <w:lang w:val="en-AU"/>
                </w:rPr>
                <w:t>www.rtwsa.com</w:t>
              </w:r>
            </w:hyperlink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722555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and select the ‘Login’ button, 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>or via email to the relevant claims agent</w:t>
            </w:r>
            <w:r w:rsidRPr="00AA6CE0">
              <w:rPr>
                <w:rFonts w:asciiTheme="minorHAnsi" w:hAnsiTheme="minorHAnsi" w:cs="Arial"/>
                <w:spacing w:val="0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AA6CE0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EnABLE Unit</w:t>
                  </w:r>
                </w:p>
              </w:tc>
            </w:tr>
            <w:tr w:rsidR="003936B4" w:rsidRPr="00AA6CE0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:rsidR="003936B4" w:rsidRPr="00AA6CE0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:rsidR="003936B4" w:rsidRPr="00AA6CE0" w:rsidRDefault="00F125D7" w:rsidP="00D50232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</w:p>
              </w:tc>
              <w:tc>
                <w:tcPr>
                  <w:tcW w:w="3119" w:type="dxa"/>
                  <w:hideMark/>
                </w:tcPr>
                <w:p w:rsidR="003936B4" w:rsidRPr="00AA6CE0" w:rsidRDefault="005D416E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hyperlink r:id="rId9" w:history="1">
                    <w:r w:rsidR="004C16BF" w:rsidRPr="0096402B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:rsidR="003936B4" w:rsidRPr="00AA6CE0" w:rsidRDefault="005D416E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hyperlink r:id="rId10" w:history="1">
                    <w:r w:rsidR="003936B4" w:rsidRPr="00AA6CE0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:rsidR="00DC5753" w:rsidRDefault="00DC5753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:rsidR="000A5524" w:rsidRDefault="000A5524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:rsidR="00ED215F" w:rsidRPr="00D50FDD" w:rsidRDefault="004A48D7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Occupational Therapy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:rsidR="00733A8A" w:rsidRPr="00475328" w:rsidRDefault="00733A8A" w:rsidP="00771B07">
      <w:pPr>
        <w:ind w:left="426"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64271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="00907BBC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</w:t>
      </w:r>
      <w:r w:rsidR="00642710" w:rsidRPr="00642710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 w:rsidR="00642710" w:rsidRPr="002D2089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</w:t>
      </w:r>
      <w:r w:rsidR="0064271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:rsidR="00FE51F8" w:rsidRPr="00D50FDD" w:rsidRDefault="00FE51F8" w:rsidP="00FA190F">
      <w:pPr>
        <w:spacing w:line="276" w:lineRule="auto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:rsidR="00143076" w:rsidRDefault="00FA190F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Dear Dr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__________________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</w:t>
      </w:r>
    </w:p>
    <w:p w:rsidR="00FA190F" w:rsidRDefault="00FA190F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:rsidR="00FA190F" w:rsidRPr="001D55A4" w:rsidRDefault="00FA190F" w:rsidP="00FA190F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:rsidR="00143076" w:rsidRPr="00FA190F" w:rsidRDefault="00FA190F" w:rsidP="00FA190F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upgraded by ___________ (date).</w:t>
      </w:r>
    </w:p>
    <w:tbl>
      <w:tblPr>
        <w:tblStyle w:val="TableGrid"/>
        <w:tblW w:w="10008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3062"/>
        <w:gridCol w:w="851"/>
        <w:gridCol w:w="1417"/>
        <w:gridCol w:w="992"/>
        <w:gridCol w:w="3686"/>
      </w:tblGrid>
      <w:tr w:rsidR="002613DF" w:rsidRPr="0018629A" w:rsidTr="00260F96">
        <w:tc>
          <w:tcPr>
            <w:tcW w:w="3062" w:type="dxa"/>
            <w:vMerge w:val="restart"/>
            <w:shd w:val="clear" w:color="auto" w:fill="56565A"/>
            <w:vAlign w:val="center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260" w:type="dxa"/>
            <w:gridSpan w:val="3"/>
            <w:shd w:val="clear" w:color="auto" w:fill="56565A"/>
            <w:vAlign w:val="center"/>
          </w:tcPr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686" w:type="dxa"/>
            <w:vMerge w:val="restart"/>
            <w:shd w:val="clear" w:color="auto" w:fill="56565A"/>
            <w:vAlign w:val="center"/>
          </w:tcPr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  <w:r w:rsidR="00FA190F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 xml:space="preserve"> </w:t>
            </w:r>
            <w:r w:rsidR="00FA190F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(frequency, duration, load, postures etc) </w:t>
            </w:r>
          </w:p>
        </w:tc>
      </w:tr>
      <w:tr w:rsidR="002613DF" w:rsidRPr="0018629A" w:rsidTr="00260F96">
        <w:tc>
          <w:tcPr>
            <w:tcW w:w="3062" w:type="dxa"/>
            <w:vMerge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417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2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686" w:type="dxa"/>
            <w:vMerge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:rsidTr="00260F96">
        <w:tc>
          <w:tcPr>
            <w:tcW w:w="3062" w:type="dxa"/>
            <w:vAlign w:val="center"/>
          </w:tcPr>
          <w:p w:rsidR="002613DF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Other (please specify)</w:t>
            </w:r>
          </w:p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:rsidR="00143076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08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3062"/>
        <w:gridCol w:w="851"/>
        <w:gridCol w:w="1417"/>
        <w:gridCol w:w="992"/>
        <w:gridCol w:w="3686"/>
      </w:tblGrid>
      <w:tr w:rsidR="002613DF" w:rsidRPr="00D50FDD" w:rsidTr="00260F96">
        <w:tc>
          <w:tcPr>
            <w:tcW w:w="3062" w:type="dxa"/>
            <w:vMerge w:val="restart"/>
            <w:shd w:val="clear" w:color="auto" w:fill="56565A"/>
            <w:vAlign w:val="center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 xml:space="preserve">Mental </w:t>
            </w: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function</w:t>
            </w:r>
          </w:p>
        </w:tc>
        <w:tc>
          <w:tcPr>
            <w:tcW w:w="3260" w:type="dxa"/>
            <w:gridSpan w:val="3"/>
            <w:shd w:val="clear" w:color="auto" w:fill="56565A"/>
            <w:vAlign w:val="center"/>
          </w:tcPr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686" w:type="dxa"/>
            <w:vMerge w:val="restart"/>
            <w:shd w:val="clear" w:color="auto" w:fill="56565A"/>
          </w:tcPr>
          <w:p w:rsidR="002613DF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</w:p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</w:tc>
      </w:tr>
      <w:tr w:rsidR="002613DF" w:rsidRPr="00D50FDD" w:rsidTr="00260F96">
        <w:tc>
          <w:tcPr>
            <w:tcW w:w="3062" w:type="dxa"/>
            <w:vMerge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ind w:left="-115" w:right="-115"/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Not affected</w:t>
            </w:r>
          </w:p>
        </w:tc>
        <w:tc>
          <w:tcPr>
            <w:tcW w:w="1417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Partially affected</w:t>
            </w:r>
          </w:p>
        </w:tc>
        <w:tc>
          <w:tcPr>
            <w:tcW w:w="992" w:type="dxa"/>
            <w:shd w:val="clear" w:color="auto" w:fill="56565A"/>
            <w:vAlign w:val="center"/>
          </w:tcPr>
          <w:p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Affected</w:t>
            </w:r>
          </w:p>
        </w:tc>
        <w:tc>
          <w:tcPr>
            <w:tcW w:w="3686" w:type="dxa"/>
            <w:vMerge/>
            <w:shd w:val="clear" w:color="auto" w:fill="56565A"/>
          </w:tcPr>
          <w:p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:rsidTr="00260F96">
        <w:trPr>
          <w:trHeight w:val="372"/>
        </w:trPr>
        <w:tc>
          <w:tcPr>
            <w:tcW w:w="306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Attention/concentration</w:t>
            </w:r>
          </w:p>
        </w:tc>
        <w:tc>
          <w:tcPr>
            <w:tcW w:w="851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:rsidTr="00260F96">
        <w:trPr>
          <w:trHeight w:val="342"/>
        </w:trPr>
        <w:tc>
          <w:tcPr>
            <w:tcW w:w="306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Memory </w:t>
            </w:r>
          </w:p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(short term and/or long term)</w:t>
            </w:r>
          </w:p>
        </w:tc>
        <w:tc>
          <w:tcPr>
            <w:tcW w:w="851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:rsidTr="00260F96">
        <w:trPr>
          <w:trHeight w:val="349"/>
        </w:trPr>
        <w:tc>
          <w:tcPr>
            <w:tcW w:w="306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Judgement </w:t>
            </w:r>
          </w:p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(ability to make decisions)</w:t>
            </w:r>
          </w:p>
        </w:tc>
        <w:tc>
          <w:tcPr>
            <w:tcW w:w="851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:rsidTr="00260F96">
        <w:trPr>
          <w:trHeight w:val="555"/>
        </w:trPr>
        <w:tc>
          <w:tcPr>
            <w:tcW w:w="3062" w:type="dxa"/>
          </w:tcPr>
          <w:p w:rsidR="002613DF" w:rsidRPr="007569D9" w:rsidRDefault="002613DF" w:rsidP="00260F96">
            <w:pPr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B6229F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Other</w:t>
            </w:r>
            <w: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 (please specify)</w:t>
            </w:r>
          </w:p>
        </w:tc>
        <w:tc>
          <w:tcPr>
            <w:tcW w:w="851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:rsidR="002613DF" w:rsidRPr="00D50FDD" w:rsidRDefault="002613DF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:rsidR="007F1639" w:rsidRPr="00D50FDD" w:rsidRDefault="00143076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 w:rsidR="009D1B29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:rsidR="00143076" w:rsidRDefault="007F1639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heck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as appropriate) </w:t>
      </w:r>
    </w:p>
    <w:p w:rsidR="00FA190F" w:rsidRPr="00FA190F" w:rsidRDefault="00FA190F" w:rsidP="00FA190F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</w:t>
      </w:r>
      <w:r w:rsidR="005D416E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</w:t>
      </w:r>
    </w:p>
    <w:p w:rsidR="004879F1" w:rsidRPr="00FA190F" w:rsidRDefault="00261502" w:rsidP="00FA190F">
      <w:pPr>
        <w:spacing w:line="276" w:lineRule="auto"/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sectPr w:rsidR="004879F1" w:rsidRPr="00FA190F" w:rsidSect="00896D6A">
          <w:headerReference w:type="default" r:id="rId11"/>
          <w:pgSz w:w="11907" w:h="16840" w:code="9"/>
          <w:pgMar w:top="-425" w:right="641" w:bottom="278" w:left="459" w:header="426" w:footer="346" w:gutter="0"/>
          <w:cols w:space="720"/>
        </w:sectPr>
      </w:pP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Signed</w:t>
      </w:r>
      <w:r w:rsidR="00FA190F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:______________________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Date:___________________</w:t>
      </w:r>
      <w:r w:rsidR="005D416E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    Provider’s name: ______________________________ </w:t>
      </w:r>
      <w:bookmarkStart w:id="16" w:name="_GoBack"/>
      <w:bookmarkEnd w:id="16"/>
    </w:p>
    <w:p w:rsidR="004879F1" w:rsidRPr="00D50FDD" w:rsidRDefault="004A48D7" w:rsidP="00896D6A">
      <w:pPr>
        <w:widowControl w:val="0"/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Occupational Therapy</w:t>
      </w:r>
      <w:r w:rsidR="001A28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885AD7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:rsidR="004879F1" w:rsidRPr="00D50FDD" w:rsidRDefault="004879F1" w:rsidP="00896D6A">
      <w:pPr>
        <w:widowControl w:val="0"/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:rsidR="004879F1" w:rsidRDefault="004879F1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Occupational Therapy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treating </w:t>
      </w:r>
      <w:r w:rsidR="007A3D36">
        <w:rPr>
          <w:rFonts w:asciiTheme="minorHAnsi" w:eastAsia="Zurich Lt BT" w:hAnsiTheme="minorHAnsi" w:cs="Arial"/>
          <w:spacing w:val="0"/>
          <w:sz w:val="18"/>
          <w:szCs w:val="18"/>
        </w:rPr>
        <w:t>occupational t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herapist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:rsidR="004879F1" w:rsidRPr="00D50FDD" w:rsidRDefault="004879F1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:rsidR="004879F1" w:rsidRDefault="00B971AD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OTMP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:rsidR="004879F1" w:rsidRPr="00D50FDD" w:rsidRDefault="004879F1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:rsidR="00AE29BB" w:rsidRPr="00C86303" w:rsidRDefault="00476ABF" w:rsidP="00896D6A">
      <w:pPr>
        <w:widowControl w:val="0"/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4A48D7">
        <w:rPr>
          <w:rFonts w:asciiTheme="minorHAnsi" w:hAnsiTheme="minorHAnsi" w:cs="Arial"/>
          <w:b/>
          <w:spacing w:val="0"/>
          <w:sz w:val="17"/>
          <w:szCs w:val="17"/>
        </w:rPr>
        <w:t>Occupational Therapy</w:t>
      </w:r>
      <w:r w:rsidR="00885AD7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8901"/>
      </w:tblGrid>
      <w:tr w:rsidR="00AE29BB" w:rsidRPr="00C86303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AE29BB" w:rsidRPr="00C86303" w:rsidRDefault="005646F4" w:rsidP="00AE3304">
            <w:pPr>
              <w:widowControl w:val="0"/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59624F" w:rsidRPr="00D50FDD" w:rsidRDefault="0059624F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:rsidR="0059624F" w:rsidRPr="00D50FDD" w:rsidRDefault="0059624F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1A28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:rsidR="000035C9" w:rsidRPr="00D50FDD" w:rsidRDefault="00AE29BB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 w:rsidR="007A3D36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herapist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 w:rsidR="004A48D7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Occupational Therapy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:rsidR="000035C9" w:rsidRPr="00D50FDD" w:rsidRDefault="000035C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885AD7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:rsidR="00AE29BB" w:rsidRPr="00D50FDD" w:rsidRDefault="000035C9" w:rsidP="001A287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="001A28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fabrication, fitting/adjustment of a splint(s)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and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 w:rsidR="0044156E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workplace visits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AE29BB" w:rsidRPr="00C86303" w:rsidRDefault="002E439A" w:rsidP="00AE3304">
            <w:pPr>
              <w:widowControl w:val="0"/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110AEA" w:rsidRPr="00D50FDD" w:rsidRDefault="00110AEA" w:rsidP="00AE3304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:rsidR="000035C9" w:rsidRPr="00D50FDD" w:rsidRDefault="00BF3351" w:rsidP="00AE3304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4A48D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Occupational Therapy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7A3D36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herapist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:rsidR="003B6AB8" w:rsidRPr="0059605D" w:rsidRDefault="003B6AB8" w:rsidP="003B6AB8">
            <w:pPr>
              <w:widowControl w:val="0"/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Orebro Musculoskeletal Pain Questionnaire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Short or Long 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orm (please state which version used) 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Kinaesiophobia 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Catastrophisation Scale 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:rsidR="003B6AB8" w:rsidRDefault="003B6AB8" w:rsidP="003B6AB8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:rsidR="002515E7" w:rsidRPr="00D50FDD" w:rsidRDefault="002515E7" w:rsidP="003B6AB8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:rsidR="002515E7" w:rsidRPr="00D50FDD" w:rsidRDefault="002515E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:rsidR="002515E7" w:rsidRPr="00D50FDD" w:rsidRDefault="002515E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:rsidR="003F4450" w:rsidRPr="00D50FDD" w:rsidRDefault="003F4450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:rsidR="00311A6E" w:rsidRPr="00D50FDD" w:rsidRDefault="00311A6E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Physical impairment measures (such as ROM, numerically-rated pain scores, etc.) are clinically useful to track cha</w:t>
            </w:r>
            <w:r w:rsidR="001A287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nges within a treatment session;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:rsidR="002515E7" w:rsidRPr="003B6AB8" w:rsidRDefault="00311A6E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791349" w:rsidRPr="002E439A" w:rsidRDefault="002E439A" w:rsidP="00AE3304">
            <w:pPr>
              <w:widowControl w:val="0"/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791349" w:rsidRPr="00D50FDD" w:rsidRDefault="004A48D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Therapy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:rsidR="00EE5DB0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:rsidR="00791349" w:rsidRPr="00D50FDD" w:rsidRDefault="00EE5DB0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:rsidR="00791349" w:rsidRPr="00D50FDD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:rsidR="00791349" w:rsidRPr="00D50FDD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Therapy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:rsidR="00791349" w:rsidRPr="00D50FDD" w:rsidRDefault="007B77B3" w:rsidP="00AE330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:rsidR="00791349" w:rsidRPr="00D50FDD" w:rsidRDefault="00791349" w:rsidP="00AE330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:rsidR="00DA0714" w:rsidRPr="00D50FDD" w:rsidRDefault="00DA0714" w:rsidP="00AE3304">
            <w:pPr>
              <w:widowControl w:val="0"/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:rsidR="006975CA" w:rsidRPr="00D50FDD" w:rsidRDefault="00DA0714" w:rsidP="00AE330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</w:t>
            </w:r>
            <w:r w:rsidR="0030796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</w:tbl>
    <w:p w:rsidR="00B14227" w:rsidRDefault="00B14227">
      <w:r>
        <w:br w:type="page"/>
      </w:r>
    </w:p>
    <w:p w:rsidR="00B14227" w:rsidRDefault="00B14227"/>
    <w:tbl>
      <w:tblPr>
        <w:tblW w:w="10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8930"/>
      </w:tblGrid>
      <w:tr w:rsidR="00B620FA" w:rsidRPr="00C86303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:rsidR="00063085" w:rsidRPr="00EE73BC" w:rsidRDefault="00885AD7" w:rsidP="00005E56">
      <w:pPr>
        <w:widowControl w:val="0"/>
        <w:spacing w:line="276" w:lineRule="auto"/>
        <w:rPr>
          <w:rFonts w:ascii="Calibri" w:eastAsia="Calibri" w:hAnsi="Calibri" w:cs="Arial"/>
          <w:spacing w:val="0"/>
          <w:sz w:val="22"/>
          <w:szCs w:val="22"/>
        </w:rPr>
      </w:pPr>
      <w:r w:rsidRPr="00EE73BC"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 wp14:anchorId="479FF4ED" wp14:editId="61EEEB9F">
            <wp:simplePos x="0" y="0"/>
            <wp:positionH relativeFrom="margin">
              <wp:align>right</wp:align>
            </wp:positionH>
            <wp:positionV relativeFrom="paragraph">
              <wp:posOffset>6418580</wp:posOffset>
            </wp:positionV>
            <wp:extent cx="1081405" cy="826770"/>
            <wp:effectExtent l="0" t="0" r="4445" b="0"/>
            <wp:wrapNone/>
            <wp:docPr id="1" name="Picture 11" descr="GOSA_col_V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A_col_V_ltrhe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3B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DA79F" wp14:editId="3255AC3A">
                <wp:simplePos x="0" y="0"/>
                <wp:positionH relativeFrom="margin">
                  <wp:align>left</wp:align>
                </wp:positionH>
                <wp:positionV relativeFrom="paragraph">
                  <wp:posOffset>6146278</wp:posOffset>
                </wp:positionV>
                <wp:extent cx="2124075" cy="1095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:rsidR="00EE73BC" w:rsidRDefault="005D416E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hyperlink r:id="rId13" w:history="1">
                              <w:r w:rsidR="00EE73BC" w:rsidRPr="00D85E70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:rsidR="00EE73BC" w:rsidRDefault="005D416E" w:rsidP="00EE73BC">
                            <w:pPr>
                              <w:rPr>
                                <w:rFonts w:ascii="Calibri" w:hAnsi="Calibri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 w:rsidR="00EE73BC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EE73BC"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 w:rsidR="00EE73BC">
                              <w:rPr>
                                <w:rFonts w:ascii="Calibri" w:hAnsi="Calibri"/>
                                <w:spacing w:val="0"/>
                              </w:rPr>
                              <w:br/>
                            </w: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© ReturnToWorkSA 2018</w:t>
                            </w: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Amended: </w:t>
                            </w:r>
                            <w:r w:rsidR="00B47F3A">
                              <w:rPr>
                                <w:rFonts w:ascii="Calibri" w:hAnsi="Calibri"/>
                                <w:spacing w:val="0"/>
                              </w:rPr>
                              <w:t>June 2018</w:t>
                            </w: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EE73BC" w:rsidRDefault="00EE73BC" w:rsidP="00EE73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A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3.95pt;width:167.25pt;height:8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" filled="f" stroked="f">
                <v:textbox>
                  <w:txbxContent>
                    <w:p w:rsidR="00EE73BC" w:rsidRDefault="00EE73BC" w:rsidP="00EE73BC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>ReturnToWorkSA</w:t>
                      </w: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400 King William Street, Adelaide SA 5000</w:t>
                      </w:r>
                    </w:p>
                    <w:p w:rsidR="00EE73BC" w:rsidRDefault="00B47F3A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hyperlink r:id="rId16" w:history="1">
                        <w:r w:rsidR="00EE73BC" w:rsidRPr="00D85E70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providers@rtwsa.com</w:t>
                        </w:r>
                      </w:hyperlink>
                    </w:p>
                    <w:p w:rsidR="00EE73BC" w:rsidRDefault="00B47F3A" w:rsidP="00EE73BC">
                      <w:pPr>
                        <w:rPr>
                          <w:rFonts w:ascii="Calibri" w:hAnsi="Calibri"/>
                          <w:spacing w:val="0"/>
                          <w:sz w:val="10"/>
                        </w:rPr>
                      </w:pPr>
                      <w:hyperlink r:id="rId17" w:history="1">
                        <w:r w:rsidR="00EE73BC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www.rtwsa.com</w:t>
                        </w:r>
                      </w:hyperlink>
                      <w:r w:rsidR="00EE73BC"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 w:rsidR="00EE73BC">
                        <w:rPr>
                          <w:rFonts w:ascii="Calibri" w:hAnsi="Calibri"/>
                          <w:spacing w:val="0"/>
                        </w:rPr>
                        <w:br/>
                      </w: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© ReturnToWorkSA 2018</w:t>
                      </w: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Amended: </w:t>
                      </w:r>
                      <w:r w:rsidR="00B47F3A">
                        <w:rPr>
                          <w:rFonts w:ascii="Calibri" w:hAnsi="Calibri"/>
                          <w:spacing w:val="0"/>
                        </w:rPr>
                        <w:t>June 2018</w:t>
                      </w: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</w:rPr>
                      </w:pPr>
                    </w:p>
                    <w:p w:rsidR="00EE73BC" w:rsidRDefault="00EE73BC" w:rsidP="00EE73B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EE73BC" w:rsidSect="00896D6A">
      <w:headerReference w:type="first" r:id="rId18"/>
      <w:pgSz w:w="11906" w:h="16838"/>
      <w:pgMar w:top="397" w:right="567" w:bottom="249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7C" w:rsidRDefault="00446B7C" w:rsidP="00B51F4B">
      <w:r>
        <w:separator/>
      </w:r>
    </w:p>
  </w:endnote>
  <w:endnote w:type="continuationSeparator" w:id="0">
    <w:p w:rsidR="00446B7C" w:rsidRDefault="00446B7C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7C" w:rsidRDefault="00446B7C" w:rsidP="00B51F4B">
      <w:r>
        <w:separator/>
      </w:r>
    </w:p>
  </w:footnote>
  <w:footnote w:type="continuationSeparator" w:id="0">
    <w:p w:rsidR="00446B7C" w:rsidRDefault="00446B7C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22" w:rsidRDefault="00896D6A" w:rsidP="00896D6A">
    <w:pPr>
      <w:pStyle w:val="Header"/>
      <w:tabs>
        <w:tab w:val="left" w:pos="567"/>
      </w:tabs>
      <w:ind w:left="-142"/>
      <w:jc w:val="center"/>
    </w:pPr>
    <w:r>
      <w:rPr>
        <w:noProof/>
        <w:lang w:val="en-AU" w:eastAsia="en-AU"/>
      </w:rPr>
      <w:drawing>
        <wp:inline distT="0" distB="0" distL="0" distR="0" wp14:anchorId="3480BE9D" wp14:editId="4A1D62AE">
          <wp:extent cx="6811063" cy="490855"/>
          <wp:effectExtent l="0" t="0" r="8890" b="4445"/>
          <wp:docPr id="16" name="Picture 16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258" cy="49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21" name="Picture 21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24EE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870B0"/>
    <w:rsid w:val="00091916"/>
    <w:rsid w:val="00092341"/>
    <w:rsid w:val="00093469"/>
    <w:rsid w:val="00093A8B"/>
    <w:rsid w:val="00095939"/>
    <w:rsid w:val="000967BC"/>
    <w:rsid w:val="000A1631"/>
    <w:rsid w:val="000A1993"/>
    <w:rsid w:val="000A2FB7"/>
    <w:rsid w:val="000A4C94"/>
    <w:rsid w:val="000A5524"/>
    <w:rsid w:val="000A6140"/>
    <w:rsid w:val="000A6600"/>
    <w:rsid w:val="000A6ADE"/>
    <w:rsid w:val="000A72AC"/>
    <w:rsid w:val="000A7B35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D761B"/>
    <w:rsid w:val="000E00A6"/>
    <w:rsid w:val="000E2960"/>
    <w:rsid w:val="000E2EA8"/>
    <w:rsid w:val="000E64B3"/>
    <w:rsid w:val="000E6AAC"/>
    <w:rsid w:val="000F0E12"/>
    <w:rsid w:val="000F2F74"/>
    <w:rsid w:val="000F3E09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287C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335D"/>
    <w:rsid w:val="001E4FD1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5105D"/>
    <w:rsid w:val="002512C7"/>
    <w:rsid w:val="002515E7"/>
    <w:rsid w:val="002518E1"/>
    <w:rsid w:val="00252296"/>
    <w:rsid w:val="00252BCC"/>
    <w:rsid w:val="002564C9"/>
    <w:rsid w:val="00257807"/>
    <w:rsid w:val="002613DF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B120E"/>
    <w:rsid w:val="002B6466"/>
    <w:rsid w:val="002B78BD"/>
    <w:rsid w:val="002D2089"/>
    <w:rsid w:val="002D5C07"/>
    <w:rsid w:val="002D6869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0796F"/>
    <w:rsid w:val="00310C48"/>
    <w:rsid w:val="00311A6E"/>
    <w:rsid w:val="003126A6"/>
    <w:rsid w:val="00312A60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5AB3"/>
    <w:rsid w:val="0034703C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667F"/>
    <w:rsid w:val="003A2311"/>
    <w:rsid w:val="003A6EFF"/>
    <w:rsid w:val="003B1BC0"/>
    <w:rsid w:val="003B64F3"/>
    <w:rsid w:val="003B6AB8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7361"/>
    <w:rsid w:val="0043754F"/>
    <w:rsid w:val="004375D5"/>
    <w:rsid w:val="004409F9"/>
    <w:rsid w:val="0044156E"/>
    <w:rsid w:val="004417B9"/>
    <w:rsid w:val="004446BA"/>
    <w:rsid w:val="00446B7C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48D7"/>
    <w:rsid w:val="004A69A8"/>
    <w:rsid w:val="004A715B"/>
    <w:rsid w:val="004A7A4D"/>
    <w:rsid w:val="004B664E"/>
    <w:rsid w:val="004C16BF"/>
    <w:rsid w:val="004C31CD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5518D"/>
    <w:rsid w:val="00560923"/>
    <w:rsid w:val="0056448D"/>
    <w:rsid w:val="005646F4"/>
    <w:rsid w:val="00572E3A"/>
    <w:rsid w:val="00575D29"/>
    <w:rsid w:val="005775C6"/>
    <w:rsid w:val="005813E3"/>
    <w:rsid w:val="00585A2E"/>
    <w:rsid w:val="0059068C"/>
    <w:rsid w:val="005906B8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D416E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17420"/>
    <w:rsid w:val="00620042"/>
    <w:rsid w:val="00620219"/>
    <w:rsid w:val="00623E1B"/>
    <w:rsid w:val="00624F0E"/>
    <w:rsid w:val="006276A2"/>
    <w:rsid w:val="00627D29"/>
    <w:rsid w:val="00634832"/>
    <w:rsid w:val="00641646"/>
    <w:rsid w:val="00642710"/>
    <w:rsid w:val="00643AB3"/>
    <w:rsid w:val="006455A5"/>
    <w:rsid w:val="006505A0"/>
    <w:rsid w:val="00652109"/>
    <w:rsid w:val="00655222"/>
    <w:rsid w:val="00656AD7"/>
    <w:rsid w:val="00660684"/>
    <w:rsid w:val="0066505E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06FB5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1BDE"/>
    <w:rsid w:val="00742F4C"/>
    <w:rsid w:val="00750F40"/>
    <w:rsid w:val="00751270"/>
    <w:rsid w:val="007560B7"/>
    <w:rsid w:val="00765A9B"/>
    <w:rsid w:val="00767003"/>
    <w:rsid w:val="00771B07"/>
    <w:rsid w:val="0077462D"/>
    <w:rsid w:val="00776F21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3D36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3EBC"/>
    <w:rsid w:val="007D6C91"/>
    <w:rsid w:val="007E0721"/>
    <w:rsid w:val="007E55B1"/>
    <w:rsid w:val="007E67E7"/>
    <w:rsid w:val="007F1639"/>
    <w:rsid w:val="007F3DAE"/>
    <w:rsid w:val="007F3ED6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AD7"/>
    <w:rsid w:val="00885D10"/>
    <w:rsid w:val="008872CD"/>
    <w:rsid w:val="0089014B"/>
    <w:rsid w:val="00890AF6"/>
    <w:rsid w:val="00891C2A"/>
    <w:rsid w:val="00894501"/>
    <w:rsid w:val="008950DC"/>
    <w:rsid w:val="00896D6A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07BBC"/>
    <w:rsid w:val="00910491"/>
    <w:rsid w:val="0091089A"/>
    <w:rsid w:val="009121EB"/>
    <w:rsid w:val="00921A89"/>
    <w:rsid w:val="009249EC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402B"/>
    <w:rsid w:val="00965EEC"/>
    <w:rsid w:val="009710B2"/>
    <w:rsid w:val="009725D2"/>
    <w:rsid w:val="00973087"/>
    <w:rsid w:val="00975697"/>
    <w:rsid w:val="00984EBA"/>
    <w:rsid w:val="00986290"/>
    <w:rsid w:val="00987C20"/>
    <w:rsid w:val="00994334"/>
    <w:rsid w:val="0099549D"/>
    <w:rsid w:val="00996060"/>
    <w:rsid w:val="009964DE"/>
    <w:rsid w:val="009A03C1"/>
    <w:rsid w:val="009A1011"/>
    <w:rsid w:val="009A31E0"/>
    <w:rsid w:val="009A5713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1BA6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4F1F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A6CE0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E3304"/>
    <w:rsid w:val="00AF076B"/>
    <w:rsid w:val="00AF2455"/>
    <w:rsid w:val="00AF2BE5"/>
    <w:rsid w:val="00AF3E5F"/>
    <w:rsid w:val="00AF4A0D"/>
    <w:rsid w:val="00AF7B30"/>
    <w:rsid w:val="00B018E9"/>
    <w:rsid w:val="00B0488D"/>
    <w:rsid w:val="00B14227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47F3A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21AF"/>
    <w:rsid w:val="00C72E79"/>
    <w:rsid w:val="00C77247"/>
    <w:rsid w:val="00C77CDA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5AE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317"/>
    <w:rsid w:val="00D11DF0"/>
    <w:rsid w:val="00D1557F"/>
    <w:rsid w:val="00D17D72"/>
    <w:rsid w:val="00D20C2E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232"/>
    <w:rsid w:val="00D50FDD"/>
    <w:rsid w:val="00D54078"/>
    <w:rsid w:val="00D60C94"/>
    <w:rsid w:val="00D61097"/>
    <w:rsid w:val="00D61DF9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753"/>
    <w:rsid w:val="00DC5E2B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3BC"/>
    <w:rsid w:val="00EE7D70"/>
    <w:rsid w:val="00EF121E"/>
    <w:rsid w:val="00EF1377"/>
    <w:rsid w:val="00F125D7"/>
    <w:rsid w:val="00F171B1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6537"/>
    <w:rsid w:val="00F3737B"/>
    <w:rsid w:val="00F409CD"/>
    <w:rsid w:val="00F41E88"/>
    <w:rsid w:val="00F469A6"/>
    <w:rsid w:val="00F5005E"/>
    <w:rsid w:val="00F52440"/>
    <w:rsid w:val="00F564F1"/>
    <w:rsid w:val="00F61B13"/>
    <w:rsid w:val="00F62638"/>
    <w:rsid w:val="00F639ED"/>
    <w:rsid w:val="00F64584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655"/>
    <w:rsid w:val="00F97E4F"/>
    <w:rsid w:val="00FA190F"/>
    <w:rsid w:val="00FA40A5"/>
    <w:rsid w:val="00FA4ED4"/>
    <w:rsid w:val="00FB0702"/>
    <w:rsid w:val="00FB10C0"/>
    <w:rsid w:val="00FB226F"/>
    <w:rsid w:val="00FB33DE"/>
    <w:rsid w:val="00FB559E"/>
    <w:rsid w:val="00FB7841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E6C9A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mailto:providers@rtws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rtws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viders@rtwsa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ABLE@rtw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EA5F9777AA46189A12914C1B88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BE98-D25C-4BC5-B94D-5FBA92F09498}"/>
      </w:docPartPr>
      <w:docPartBody>
        <w:p w:rsidR="00694D42" w:rsidRDefault="00D11AEC" w:rsidP="00D11AEC">
          <w:pPr>
            <w:pStyle w:val="DEEA5F9777AA46189A12914C1B883D13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C"/>
    <w:rsid w:val="00694D42"/>
    <w:rsid w:val="00D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AEC"/>
    <w:rPr>
      <w:color w:val="808080"/>
    </w:rPr>
  </w:style>
  <w:style w:type="paragraph" w:customStyle="1" w:styleId="DEEA5F9777AA46189A12914C1B883D13">
    <w:name w:val="DEEA5F9777AA46189A12914C1B883D13"/>
    <w:rsid w:val="00D11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C5C65-D2FE-4F8B-8D7C-2CB1BA25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management plan</vt:lpstr>
    </vt:vector>
  </TitlesOfParts>
  <Company>ReturnToWorkSA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management plan</dc:title>
  <dc:subject>Management plan, physiotherapy, explanatory guide</dc:subject>
  <dc:creator>ReturnToWorkSA</dc:creator>
  <cp:keywords>Management plan, occupational, therapy, explanatory guide</cp:keywords>
  <cp:lastModifiedBy>Hynes, Simon</cp:lastModifiedBy>
  <cp:revision>3</cp:revision>
  <cp:lastPrinted>2018-01-04T00:18:00Z</cp:lastPrinted>
  <dcterms:created xsi:type="dcterms:W3CDTF">2019-12-03T00:09:00Z</dcterms:created>
  <dcterms:modified xsi:type="dcterms:W3CDTF">2019-12-03T03:22:00Z</dcterms:modified>
  <cp:category>Physiotherapy management plan</cp:category>
</cp:coreProperties>
</file>